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mc:AlternateContent>
        <mc:Choice Requires="wpsCustomData">
          <wpsCustomData:docfieldStart id="0" docfieldname="正文" hidden="0" print="1" readonly="0" index="1"/>
        </mc:Choice>
      </mc:AlternateContent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default" w:ascii="Times New Roman" w:hAnsi="Times New Roman" w:eastAsia="楷体" w:cs="Times New Roman"/>
          <w:color w:val="000000"/>
          <w:sz w:val="28"/>
          <w:szCs w:val="28"/>
          <w:lang w:val="en"/>
        </w:rPr>
        <w:t>19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/>
          <w:color w:val="000000"/>
          <w:sz w:val="28"/>
          <w:szCs w:val="28"/>
        </w:rPr>
        <w:t>浙江省水利厅办公室编</w:t>
      </w:r>
      <w:r>
        <w:rPr>
          <w:rFonts w:ascii="仿宋" w:hAnsi="仿宋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CW2go/sAQAAuQMAAA4AAABkcnMvZTJvRG9jLnhtbK1TvY4T&#10;MRDukXgHyz3ZTUTCscrmikShOeCkOx5g4vVmLWyPZTvZ5CV4ASQ6qCjp7204HoOx88NxNFewheXx&#10;zHwz3zez08ud0WwrfVBoaz4clJxJK7BRdl3zD7fLFxechQi2AY1W1nwvA7+cPX827V0lR9ihbqRn&#10;BGJD1buadzG6qiiC6KSBMEAnLTlb9AYimX5dNB56Qje6GJXlpOjRN86jkCHQ6+Lg5EdE/xRAbFsl&#10;5ALFxkgbD6heaohEKXTKBT7L3batFPF92wYZma45MY35pCJ0X6WzmE2hWntwnRLHFuApLTziZEBZ&#10;KnqGWkAEtvHqHyijhMeAbRwINMWBSFaEWAzLR9rcdOBk5kJSB3cWPfw/WPFue+2Zamo+5syCoYHf&#10;f/7x89PXX3df6Lz//o2Nk0i9CxXFzu21TzTFzt64KxQfA7M478CuZW72du8IYZgyir9SkhEclVr1&#10;b7GhGNhEzIrtWm8SJGnBdnkw+/Ng5C4yQY/jycWryWvqUJx8BVSnROdDfCPRsHSpuVY2aQYVbK9C&#10;TI1AdQpJzxaXSus8d21ZX/PR+GVZ5oyAWjXJm+KCX6/m2rMt0OoslyV9mRZ5HoZ53NjmUEXblCfz&#10;1h1Ln2gfBFxhs7/2J21oorm54/allXloZwX//HG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z8&#10;U+TWAAAACAEAAA8AAAAAAAAAAQAgAAAAIgAAAGRycy9kb3ducmV2LnhtbFBLAQIUABQAAAAIAIdO&#10;4kAltoKP7AEAALkDAAAOAAAAAAAAAAEAIAAAACUBAABkcnMvZTJvRG9jLnhtbFBLBQYAAAAABgAG&#10;AFkBAACD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10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衢州市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体系重构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机制重塑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建立河湖长制工作协同高效新格局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衢州市围绕“打造诗画浙江大花园核心区金名片”目标，通过“三抓”“三聚焦”“三强化”等工作措施，构建起“责任明确、协调有序、监管严格、保护有力”的河湖长制工作协同高效新格局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一、重塑体制机制，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构建协同高效新体系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（一）联席会议制度“抓覆盖”。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按照中央、省建立全面推行河湖长制工作联席会议制度精神，衢州市“跑出加速度、奔出新姿态”。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9日建立市级联席会议制度，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至5月27日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市级+6个县（市、区）仅用15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个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作日实现“全覆盖”。联席会议明确政府领导、水利牵头，政府分管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领导担任召集人，水利局长等为副召集人。联席会议办公室与河长制办公室合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署，设在水利局。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（二）发布总河长令“抓全局”。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日发布全市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"/>
        </w:rPr>
        <w:t>1号总河长令，聚焦聚力问题发现处置、河湖长履职考评等重点工作，从组织领导、数字赋能、督查问责、护水力量等方面予以强化保障，进一步强化了“上下协同、各司其职、多方联动、齐抓共管”的治水管水护水工作局面。县级层面截至5月底已有5个县（市、区）发布总河长令，其中衢江区、龙游县发布了2号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河长令。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（三）聚焦重点工作“抓推进”。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把河湖长制作为推进幸福河湖建设、“一县一库”等工作的重要抓手，切实发挥河湖长统筹、协调、督促、指导作用，推动上下游、左右岸、干支流联防联控联治、系统综合施策、成效明显。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龙游灵山港成为省内唯一、全国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个之一的全国幸福河湖建设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二、夯实河长责任，健全长效履职新机制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（一）聚焦“工作机制”定规则。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市、县（市、区）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制定印发《全面推行河湖长制工作联席会议工作规则》，明确部门职责、议事规则和工作要求，促进联席会议制度化、规范化、长效化。形成导向清晰、协调高效、监督严格、落实有力的河湖长制工作合力。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（二）聚焦“一线履职”出实绩。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全面推行河湖长履职积分与河湖健康状况相结合的评价机制，把山塘整治、病险水库除险加固、中小河流综合治理等民生实事项目推进列入河湖长履职内容，协调推进妨碍河道行洪排查整治、断面水质巩固提升等专项行动，让河长在河湖“一线”履职出实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（三）聚焦“两勤两专”提能力。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按照市委市政府“两勤两专”（脑勤、腿勤和专业技术能力、专业科学精神）干部培养管理要求，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将河长培训纳入全市组织部门干部教育计划。市级计划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月举办全市河湖长培训班，采取“请进来、走出去”的方式，进行专家授课、基层讲述、现场考察等，查问题、做答题、评方案，不断提升河长履职意识和业务本领。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三、筑牢工作基础，增添河湖长制新动能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（一）坚持问题导向，强化严督实考。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将河湖长制工作纳入市委、市政府对县（市、区）、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产业集聚区（市本级）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和部门年度综合考核。强化数字赋能，迭代升级河长在线，打通河长在线履职全流程、全留痕、全闭环、网上办，提高问题发现和处置效率。落实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“一周一提醒、一月一通报”机制，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实施督查结果“比拼晾晒”运用，正向激励和反向倒逼推动河长担当尽责、守河尽职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（二）坚持守正创新，强化示范引领。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铜山源大型灌区借鉴“河长制”创设“渠长制”，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“一长一册”“一长一群”“一长一段”立体式全方位管理，通过日常供水管理、巡查检查、信息化管理等手段实现上下游水情信息共享、用水合理分配、调水科学统筹，切实提高灌区科学管理能力和服务群众水平，实现节水、增收、数字化管控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累计节约灌溉用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 w:bidi="ar"/>
        </w:rPr>
        <w:t>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 w:bidi="ar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 w:bidi="ar"/>
        </w:rPr>
        <w:t>万立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（三）坚持齐抓共管，强化全民参与。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市县级河湖长巡河履职报道、“河长再出发，碧水迎亚运”书画摄影作品展、“共护母亲河、喜迎亚运会、碧水钱江源”钱塘江流域（开化段）巡河禁渔护水行动等方式，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广泛宣传河湖长制工作，引导全民参与到爱水护水行动中来。积极培育爱水护水管水民间力量，努力发展壮大民间治水组织，目前全市已经建立民间护河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 w:bidi="ar"/>
        </w:rPr>
        <w:t>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 w:bidi="ar"/>
        </w:rPr>
        <w:t>210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 w:bidi="ar"/>
        </w:rPr>
        <w:t>余支。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持续打响“蓝马甲”护水志愿者品牌，不断激发公众参与治水护水的积极性，目前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 w:bidi="ar"/>
        </w:rPr>
        <w:t>志愿者超过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 w:bidi="ar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 w:bidi="ar"/>
        </w:rPr>
        <w:t>万名，成为活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跃在盈盈碧水间的一抹动人“衢州蓝”。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wEBahukBAAC4AwAADgAAAGRycy9lMm9Eb2MueG1srVO9jhMx&#10;EO6ReAfLPdkkuhzcKpsrEh3NAZHueADH681a2B7L42STl+AFkOigoqTnbTgeg7E3CffTXMEWlj3z&#10;zTcz38xOL3fWsK0KqMFVfDQYcqachFq7dcU/3l69esMZRuFqYcCpiu8V8svZyxfTzpdqDC2YWgVG&#10;JA7Lzle8jdGXRYGyVVbgALxy5GwgWBHpGdZFHURH7NYU4+HwvOgg1D6AVIhkXfROfmAMzyGEptFS&#10;LUBurHKxZw3KiEgtYas98lmutmmUjB+aBlVkpuLUacwnJaH7Kp3FbCrKdRC+1fJQgnhOCY96skI7&#10;SnqiWogo2CboJ1RWywAITRxIsEXfSFaEuhgNH2lz0wqvci8kNfqT6Pj/aOX77TIwXdMmcOaEpYHf&#10;ffn5+/O3P7++0nn34zsbJZE6jyVh524ZUpty5278NchPyBzMW+HWKhd7u/fEkCOKByHpgZ5Srbp3&#10;UBNGbCJkxXZNsImStGC7PJj9aTBqF5kk4+T89cXZGc1MHn2FKI+BPmB8q8CydKm40S5pJkqxvcZI&#10;pRP0CElmB1famDx341hX8YvJeJIDEIyukzPBMKxXcxPYVqTNyV/SgcgewAJsXN3bjUtxKi/dIfOx&#10;616/FdT7ZUjgZKeBZrrD8qWNuf/OqH8/3O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n+OzNUA&#10;AAAGAQAADwAAAAAAAAABACAAAAAiAAAAZHJzL2Rvd25yZXYueG1sUEsBAhQAFAAAAAgAh07iQMBA&#10;WobpAQAAu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sz w:val="28"/>
          <w:szCs w:val="28"/>
        </w:rPr>
        <w:t>报：</w:t>
      </w:r>
      <w:r>
        <w:rPr>
          <w:rFonts w:hint="eastAsia" w:ascii="Times New Roman" w:hAnsi="Times New Roman" w:eastAsia="仿宋" w:cs="Times New Roman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sz w:val="28"/>
          <w:szCs w:val="28"/>
        </w:rPr>
        <w:t>水利部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办公厅</w:t>
      </w:r>
      <w:r>
        <w:rPr>
          <w:rFonts w:ascii="Times New Roman" w:hAnsi="Times New Roman" w:eastAsia="仿宋" w:cs="Times New Roman"/>
          <w:sz w:val="28"/>
          <w:szCs w:val="28"/>
        </w:rPr>
        <w:t>，省政府办公厅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送：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省河长办主任、副主任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省水利厅厅领导，省河湖长制工作联席会议成员单位，各市、县（市、区）党委政府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发：各市、县（市、区）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河长办、水利局，</w:t>
      </w:r>
      <w:r>
        <w:rPr>
          <w:rFonts w:hint="eastAsia" w:ascii="Times New Roman" w:hAnsi="Times New Roman" w:eastAsia="仿宋" w:cs="Times New Roman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CMcywO6gEAALgDAAAOAAAAZHJzL2Uyb0RvYy54bWytU8FuEzEQ&#10;vSPxD5bvZJO0KXSVTQ+JyqVApJYPcLzerIXtsTxONvkJfgCJG5w4cudvKJ/B2MmGUi49sAfL45l5&#10;M+/N7PRqZw3bqoAaXMVHgyFnykmotVtX/P3d9YtXnGEUrhYGnKr4XiG/mj1/Nu18qcbQgqlVYATi&#10;sOx8xdsYfVkUKFtlBQ7AK0fOBoIVkcywLuogOkK3phgPhxdFB6H2AaRCpNfFwcmPiOEpgNA0WqoF&#10;yI1VLh5QgzIiEiVstUc+y902jZLxXdOgisxUnJjGfFIRuq/SWcymolwH4Vstjy2Ip7TwiJMV2lHR&#10;E9RCRME2Qf8DZbUMgNDEgQRbHIhkRYjFaPhIm9tWeJW5kNToT6Lj/4OVb7fLwHRd8TPOnLA08PtP&#10;339+/PLrx2c67799ZWdJpM5jSbFztwyJpty5W38D8gMyB/NWuLXKzd7tPSGMUkbxV0oy0FOpVfcG&#10;aooRmwhZsV0TbIIkLdguD2Z/GozaRSbpcXLx8vL8nGYme18hyj7RB4yvFViWLhU32iXNRCm2NxhT&#10;I6LsQ9Kzg2ttTJ67cayr+OVkPMkJCEbXyZnCMKxXcxPYVqTNyV9mRZ6HYQE2rj4UMS7lqbx0x8o9&#10;64N+K6j3y9BLQwPNvR2XL23MQzsL+OeHm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Ixz&#10;LA7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sz w:val="28"/>
          <w:szCs w:val="28"/>
        </w:rPr>
        <w:t>签发：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黄黎明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核稿：</w:t>
      </w:r>
      <w:r>
        <w:rPr>
          <w:rFonts w:hint="eastAsia" w:ascii="Times New Roman" w:hAnsi="Times New Roman" w:eastAsia="仿宋" w:cs="Times New Roman"/>
          <w:sz w:val="28"/>
          <w:szCs w:val="28"/>
        </w:rPr>
        <w:t>邬杨明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sz w:val="28"/>
          <w:szCs w:val="28"/>
        </w:rPr>
        <w:t>朱晓源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bidi w:val="0"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CpqF0rqAQAAuAMAAA4AAABkcnMvZTJvRG9jLnhtbK1TvY4T&#10;MRDukXgHyz3ZJLoc3CqbKxIdzQGR7niAidebtbA9lu1kk5fgBZDooKKk5204HoOxNwn301zBFpbH&#10;M/PNfN/MTi93RrOt9EGhrfhoMORMWoG1suuKf7y9evWGsxDB1qDRyorvZeCXs5cvpp0r5Rhb1LX0&#10;jEBsKDtX8TZGVxZFEK00EAbopCVng95AJNOvi9pDR+hGF+Ph8Lzo0NfOo5Ah0Ouid/IDon8OIDaN&#10;EnKBYmOkjT2qlxoiUQqtcoHPcrdNI0X80DRBRqYrTkxjPqkI3VfpLGZTKNceXKvEoQV4TguPOBlQ&#10;loqeoBYQgW28egJllPAYsIkDgaboiWRFiMVo+EibmxaczFxI6uBOoof/Byveb5eeqbriY84sGBr4&#10;3Zefvz9/+/PrK513P76zcRKpc6Gk2Lld+kRT7OyNu0bxKTCL8xbsWuZmb/eOEEYpo3iQkozgqNSq&#10;e4c1xcAmYlZs13iTIEkLtsuD2Z8GI3eRCXqcnL++ODujmYmjr4DymOh8iG8lGpYuFdfKJs2ghO11&#10;iKkRKI8h6dnildI6z11b1lX8YjKe5ISAWtXJmcKCX6/m2rMtpM3JX2ZFnvthHje27otom/JkXrpD&#10;5SPrXr8V1vulP0pDA829HZYvbcx9Owv474eb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KmoXSuoBAAC4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sz w:val="28"/>
          <w:szCs w:val="28"/>
        </w:rPr>
        <w:t>浙江省水利厅办公室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28"/>
          <w:szCs w:val="28"/>
        </w:rPr>
        <w:t xml:space="preserve">   202</w:t>
      </w:r>
      <w:r>
        <w:rPr>
          <w:rFonts w:hint="eastAsia" w:ascii="Times New Roman" w:hAnsi="Times New Roman" w:eastAsia="仿宋"/>
          <w:sz w:val="28"/>
          <w:szCs w:val="28"/>
        </w:rPr>
        <w:t>2</w:t>
      </w:r>
      <w:r>
        <w:rPr>
          <w:rFonts w:ascii="Times New Roman" w:hAns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sz w:val="28"/>
          <w:szCs w:val="28"/>
        </w:rPr>
        <w:t>月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"/>
          <w:sz w:val="28"/>
          <w:szCs w:val="28"/>
        </w:rPr>
        <w:t>日印发</w:t>
      </w:r>
      <w:r>
        <w:rPr>
          <w:rFonts w:ascii="Times New Roman" w:hAnsi="Times New Roman" w:eastAsia="楷体" w:cs="Times New Roman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mc:AlternateContent>
        <mc:Choice Requires="wpsCustomData">
          <wpsCustomData:docfieldEnd id="0"/>
        </mc:Choice>
      </mc:AlternateContent>
    </w:p>
    <w:p/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/>
      <w:jc w:val="righ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Style w:val="11"/>
        <w:rFonts w:hint="default" w:ascii="Times New Roman" w:hAnsi="Times New Roman" w:cs="Times New Roman"/>
        <w:sz w:val="28"/>
      </w:rPr>
      <w:fldChar w:fldCharType="begin"/>
    </w:r>
    <w:r>
      <w:rPr>
        <w:rStyle w:val="11"/>
        <w:rFonts w:hint="default" w:ascii="Times New Roman" w:hAnsi="Times New Roman" w:cs="Times New Roman"/>
        <w:sz w:val="28"/>
      </w:rPr>
      <w:instrText xml:space="preserve"> PAGE </w:instrText>
    </w:r>
    <w:r>
      <w:rPr>
        <w:rStyle w:val="11"/>
        <w:rFonts w:hint="default" w:ascii="Times New Roman" w:hAnsi="Times New Roman" w:cs="Times New Roman"/>
        <w:sz w:val="28"/>
      </w:rPr>
      <w:fldChar w:fldCharType="separate"/>
    </w:r>
    <w:r>
      <w:rPr>
        <w:rStyle w:val="11"/>
        <w:rFonts w:hint="default" w:ascii="Times New Roman" w:hAnsi="Times New Roman" w:cs="Times New Roman"/>
        <w:sz w:val="28"/>
      </w:rPr>
      <w:t>1</w:t>
    </w:r>
    <w:r>
      <w:rPr>
        <w:rStyle w:val="11"/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/>
      <w:jc w:val="left"/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Style w:val="11"/>
        <w:rFonts w:hint="default" w:ascii="Times New Roman" w:hAnsi="Times New Roman" w:cs="Times New Roman"/>
        <w:sz w:val="28"/>
      </w:rPr>
      <w:fldChar w:fldCharType="begin"/>
    </w:r>
    <w:r>
      <w:rPr>
        <w:rStyle w:val="11"/>
        <w:rFonts w:hint="default" w:ascii="Times New Roman" w:hAnsi="Times New Roman" w:cs="Times New Roman"/>
        <w:sz w:val="28"/>
      </w:rPr>
      <w:instrText xml:space="preserve"> PAGE </w:instrText>
    </w:r>
    <w:r>
      <w:rPr>
        <w:rStyle w:val="11"/>
        <w:rFonts w:hint="default" w:ascii="Times New Roman" w:hAnsi="Times New Roman" w:cs="Times New Roman"/>
        <w:sz w:val="28"/>
      </w:rPr>
      <w:fldChar w:fldCharType="separate"/>
    </w:r>
    <w:r>
      <w:rPr>
        <w:rStyle w:val="11"/>
        <w:rFonts w:hint="default" w:ascii="Times New Roman" w:hAnsi="Times New Roman" w:cs="Times New Roman"/>
        <w:sz w:val="28"/>
      </w:rPr>
      <w:t>1</w:t>
    </w:r>
    <w:r>
      <w:rPr>
        <w:rStyle w:val="11"/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6C4B"/>
    <w:rsid w:val="1BD17F24"/>
    <w:rsid w:val="25D774E7"/>
    <w:rsid w:val="6C0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  <w:rPr>
      <w:rFonts w:ascii="宋体" w:hAnsi="宋体" w:cs="宋体"/>
      <w:sz w:val="24"/>
    </w:rPr>
  </w:style>
  <w:style w:type="paragraph" w:styleId="4">
    <w:name w:val="Body Text Indent"/>
    <w:basedOn w:val="1"/>
    <w:next w:val="3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First Indent 2"/>
    <w:basedOn w:val="1"/>
    <w:unhideWhenUsed/>
    <w:qFormat/>
    <w:uiPriority w:val="99"/>
    <w:pPr>
      <w:widowControl/>
      <w:adjustRightInd w:val="0"/>
      <w:snapToGrid w:val="0"/>
      <w:ind w:firstLine="420" w:firstLineChars="200"/>
      <w:jc w:val="left"/>
    </w:pPr>
    <w:rPr>
      <w:u w:val="none" w:color="auto"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2022-06-10T02:17:00Z</dcterms:created>
  <dc:creator>聂婷</dc:creator>
  <cp:lastModifiedBy>聂婷</cp:lastModifiedBy>
  <dcterms:modified xsi:type="dcterms:W3CDTF">2022-06-10T02:21:23Z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