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both"/>
        <w:rPr>
          <w:rFonts w:hint="eastAsia" w:ascii="黑体" w:hAnsi="黑体" w:eastAsia="黑体" w:cs="黑体"/>
          <w:w w:val="96"/>
          <w:sz w:val="32"/>
          <w:szCs w:val="32"/>
          <w:lang w:val="en-US" w:eastAsia="zh-CN"/>
        </w:rPr>
      </w:pPr>
      <w:bookmarkStart w:id="0" w:name="_GoBack"/>
      <w:r>
        <w:rPr>
          <w:rFonts w:hint="eastAsia" w:ascii="黑体" w:hAnsi="黑体" w:eastAsia="黑体" w:cs="黑体"/>
          <w:w w:val="96"/>
          <w:sz w:val="32"/>
          <w:szCs w:val="32"/>
          <w:lang w:val="en-US" w:eastAsia="zh-CN"/>
        </w:rPr>
        <w:t>附件</w:t>
      </w:r>
    </w:p>
    <w:bookmarkEnd w:id="0"/>
    <w:p>
      <w:pPr>
        <w:spacing w:line="740" w:lineRule="exact"/>
        <w:jc w:val="center"/>
        <w:rPr>
          <w:rFonts w:ascii="方正小标宋简体" w:hAnsi="仿宋" w:eastAsia="方正小标宋简体"/>
          <w:w w:val="96"/>
          <w:sz w:val="44"/>
          <w:szCs w:val="44"/>
        </w:rPr>
      </w:pPr>
      <w:r>
        <w:rPr>
          <w:rFonts w:hint="default" w:ascii="方正小标宋简体" w:hAnsi="仿宋" w:eastAsia="方正小标宋简体"/>
          <w:w w:val="96"/>
          <w:sz w:val="44"/>
          <w:szCs w:val="44"/>
          <w:lang w:val="en-US"/>
        </w:rPr>
        <w:t>2023</w:t>
      </w:r>
      <w:r>
        <w:rPr>
          <w:rFonts w:hint="eastAsia" w:ascii="方正小标宋简体" w:hAnsi="仿宋" w:eastAsia="方正小标宋简体"/>
          <w:w w:val="96"/>
          <w:sz w:val="44"/>
          <w:szCs w:val="44"/>
          <w:lang w:val="en-US" w:eastAsia="zh-CN"/>
        </w:rPr>
        <w:t>年水利厅</w:t>
      </w:r>
      <w:r>
        <w:rPr>
          <w:rFonts w:hint="eastAsia" w:ascii="方正小标宋简体" w:hAnsi="仿宋" w:eastAsia="方正小标宋简体"/>
          <w:w w:val="96"/>
          <w:sz w:val="44"/>
          <w:szCs w:val="44"/>
        </w:rPr>
        <w:t>重大行政决策事项表</w:t>
      </w:r>
    </w:p>
    <w:tbl>
      <w:tblPr>
        <w:tblStyle w:val="9"/>
        <w:tblW w:w="15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800"/>
        <w:gridCol w:w="1309"/>
        <w:gridCol w:w="3266"/>
        <w:gridCol w:w="3397"/>
        <w:gridCol w:w="1234"/>
        <w:gridCol w:w="975"/>
        <w:gridCol w:w="97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73" w:type="dxa"/>
            <w:shd w:val="clear" w:color="auto" w:fill="auto"/>
            <w:vAlign w:val="center"/>
          </w:tcPr>
          <w:p>
            <w:pPr>
              <w:spacing w:line="400" w:lineRule="exact"/>
              <w:jc w:val="center"/>
              <w:rPr>
                <w:rFonts w:eastAsia="仿宋"/>
                <w:b/>
                <w:bCs/>
                <w:sz w:val="24"/>
                <w:szCs w:val="24"/>
              </w:rPr>
            </w:pPr>
            <w:r>
              <w:rPr>
                <w:rFonts w:eastAsia="仿宋"/>
                <w:b/>
                <w:bCs/>
                <w:sz w:val="24"/>
                <w:szCs w:val="24"/>
              </w:rPr>
              <w:t>序号</w:t>
            </w:r>
          </w:p>
        </w:tc>
        <w:tc>
          <w:tcPr>
            <w:tcW w:w="1800" w:type="dxa"/>
            <w:shd w:val="clear" w:color="auto" w:fill="auto"/>
            <w:vAlign w:val="center"/>
          </w:tcPr>
          <w:p>
            <w:pPr>
              <w:spacing w:line="400" w:lineRule="exact"/>
              <w:jc w:val="center"/>
              <w:rPr>
                <w:rFonts w:eastAsia="仿宋"/>
                <w:b/>
                <w:bCs/>
                <w:sz w:val="24"/>
                <w:szCs w:val="24"/>
              </w:rPr>
            </w:pPr>
            <w:r>
              <w:rPr>
                <w:rFonts w:eastAsia="仿宋"/>
                <w:b/>
                <w:bCs/>
                <w:sz w:val="24"/>
                <w:szCs w:val="24"/>
              </w:rPr>
              <w:t>决策事项名称</w:t>
            </w:r>
          </w:p>
        </w:tc>
        <w:tc>
          <w:tcPr>
            <w:tcW w:w="1309" w:type="dxa"/>
            <w:shd w:val="clear" w:color="auto" w:fill="auto"/>
            <w:vAlign w:val="center"/>
          </w:tcPr>
          <w:p>
            <w:pPr>
              <w:spacing w:line="400" w:lineRule="exact"/>
              <w:rPr>
                <w:rFonts w:eastAsia="仿宋"/>
                <w:b/>
                <w:bCs/>
                <w:sz w:val="24"/>
                <w:szCs w:val="24"/>
              </w:rPr>
            </w:pPr>
            <w:r>
              <w:rPr>
                <w:rFonts w:eastAsia="仿宋"/>
                <w:b/>
                <w:bCs/>
                <w:sz w:val="24"/>
                <w:szCs w:val="24"/>
              </w:rPr>
              <w:t>承办</w:t>
            </w:r>
            <w:r>
              <w:rPr>
                <w:rFonts w:hint="eastAsia" w:eastAsia="仿宋"/>
                <w:b/>
                <w:bCs/>
                <w:sz w:val="24"/>
                <w:szCs w:val="24"/>
              </w:rPr>
              <w:t>处室</w:t>
            </w:r>
          </w:p>
          <w:p>
            <w:pPr>
              <w:spacing w:line="400" w:lineRule="exact"/>
              <w:rPr>
                <w:rFonts w:eastAsia="仿宋"/>
                <w:b/>
                <w:bCs/>
                <w:sz w:val="24"/>
                <w:szCs w:val="24"/>
              </w:rPr>
            </w:pPr>
            <w:r>
              <w:rPr>
                <w:rFonts w:hint="eastAsia" w:eastAsia="仿宋"/>
                <w:b/>
                <w:bCs/>
                <w:sz w:val="24"/>
                <w:szCs w:val="24"/>
              </w:rPr>
              <w:t>（单位）</w:t>
            </w:r>
          </w:p>
        </w:tc>
        <w:tc>
          <w:tcPr>
            <w:tcW w:w="3266" w:type="dxa"/>
            <w:vAlign w:val="center"/>
          </w:tcPr>
          <w:p>
            <w:pPr>
              <w:spacing w:line="400" w:lineRule="exact"/>
              <w:jc w:val="center"/>
              <w:rPr>
                <w:rFonts w:eastAsia="仿宋"/>
                <w:b/>
                <w:bCs/>
                <w:sz w:val="24"/>
                <w:szCs w:val="24"/>
              </w:rPr>
            </w:pPr>
            <w:r>
              <w:rPr>
                <w:rFonts w:hint="eastAsia" w:eastAsia="仿宋"/>
                <w:b/>
                <w:bCs/>
                <w:sz w:val="24"/>
                <w:szCs w:val="24"/>
              </w:rPr>
              <w:t>法律政策依据</w:t>
            </w:r>
          </w:p>
        </w:tc>
        <w:tc>
          <w:tcPr>
            <w:tcW w:w="3397" w:type="dxa"/>
            <w:shd w:val="clear" w:color="auto" w:fill="auto"/>
            <w:vAlign w:val="center"/>
          </w:tcPr>
          <w:p>
            <w:pPr>
              <w:spacing w:line="400" w:lineRule="exact"/>
              <w:jc w:val="center"/>
              <w:rPr>
                <w:rFonts w:eastAsia="仿宋"/>
                <w:b/>
                <w:bCs/>
                <w:sz w:val="24"/>
                <w:szCs w:val="24"/>
              </w:rPr>
            </w:pPr>
            <w:r>
              <w:rPr>
                <w:rFonts w:eastAsia="仿宋"/>
                <w:b/>
                <w:bCs/>
                <w:sz w:val="24"/>
                <w:szCs w:val="24"/>
              </w:rPr>
              <w:t>承办时间与实施计划</w:t>
            </w:r>
          </w:p>
        </w:tc>
        <w:tc>
          <w:tcPr>
            <w:tcW w:w="1234" w:type="dxa"/>
            <w:vAlign w:val="center"/>
          </w:tcPr>
          <w:p>
            <w:pPr>
              <w:spacing w:line="400" w:lineRule="exact"/>
              <w:jc w:val="center"/>
              <w:rPr>
                <w:rFonts w:eastAsia="仿宋"/>
                <w:b/>
                <w:bCs/>
                <w:sz w:val="24"/>
                <w:szCs w:val="24"/>
              </w:rPr>
            </w:pPr>
            <w:r>
              <w:rPr>
                <w:rFonts w:hint="eastAsia" w:eastAsia="仿宋"/>
                <w:b/>
                <w:bCs/>
                <w:sz w:val="24"/>
                <w:szCs w:val="24"/>
              </w:rPr>
              <w:t>是否公众参与</w:t>
            </w:r>
          </w:p>
        </w:tc>
        <w:tc>
          <w:tcPr>
            <w:tcW w:w="975" w:type="dxa"/>
            <w:vAlign w:val="center"/>
          </w:tcPr>
          <w:p>
            <w:pPr>
              <w:spacing w:line="400" w:lineRule="exact"/>
              <w:jc w:val="center"/>
              <w:rPr>
                <w:rFonts w:eastAsia="仿宋"/>
                <w:b/>
                <w:bCs/>
                <w:sz w:val="24"/>
                <w:szCs w:val="24"/>
              </w:rPr>
            </w:pPr>
            <w:r>
              <w:rPr>
                <w:rFonts w:hint="eastAsia" w:eastAsia="仿宋"/>
                <w:b/>
                <w:bCs/>
                <w:sz w:val="24"/>
                <w:szCs w:val="24"/>
              </w:rPr>
              <w:t>是否专家论证</w:t>
            </w:r>
          </w:p>
        </w:tc>
        <w:tc>
          <w:tcPr>
            <w:tcW w:w="975" w:type="dxa"/>
            <w:vAlign w:val="center"/>
          </w:tcPr>
          <w:p>
            <w:pPr>
              <w:spacing w:line="400" w:lineRule="exact"/>
              <w:jc w:val="center"/>
              <w:rPr>
                <w:rFonts w:eastAsia="仿宋"/>
                <w:b/>
                <w:bCs/>
                <w:sz w:val="24"/>
                <w:szCs w:val="24"/>
              </w:rPr>
            </w:pPr>
            <w:r>
              <w:rPr>
                <w:rFonts w:hint="eastAsia" w:eastAsia="仿宋"/>
                <w:b/>
                <w:bCs/>
                <w:sz w:val="24"/>
                <w:szCs w:val="24"/>
              </w:rPr>
              <w:t>是否风险评估</w:t>
            </w:r>
          </w:p>
        </w:tc>
        <w:tc>
          <w:tcPr>
            <w:tcW w:w="1394" w:type="dxa"/>
            <w:vAlign w:val="center"/>
          </w:tcPr>
          <w:p>
            <w:pPr>
              <w:spacing w:line="400" w:lineRule="exact"/>
              <w:jc w:val="center"/>
              <w:rPr>
                <w:rFonts w:eastAsia="仿宋"/>
                <w:b/>
                <w:bCs/>
                <w:sz w:val="24"/>
                <w:szCs w:val="24"/>
              </w:rPr>
            </w:pPr>
            <w:r>
              <w:rPr>
                <w:rFonts w:hint="eastAsia" w:eastAsia="仿宋"/>
                <w:b/>
                <w:bCs/>
                <w:sz w:val="24"/>
                <w:szCs w:val="24"/>
              </w:rPr>
              <w:t>是否公平竞争审查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873" w:type="dxa"/>
            <w:shd w:val="clear" w:color="auto" w:fill="auto"/>
            <w:vAlign w:val="center"/>
          </w:tcPr>
          <w:p>
            <w:pPr>
              <w:spacing w:line="400" w:lineRule="exact"/>
              <w:jc w:val="center"/>
              <w:rPr>
                <w:rFonts w:eastAsia="仿宋"/>
                <w:sz w:val="24"/>
                <w:szCs w:val="24"/>
              </w:rPr>
            </w:pPr>
            <w:r>
              <w:rPr>
                <w:rFonts w:hint="eastAsia" w:ascii="Times New Roman" w:hAnsi="Times New Roman" w:eastAsia="仿宋" w:cs="Times New Roman"/>
                <w:sz w:val="24"/>
                <w:szCs w:val="24"/>
                <w:lang w:val="en-US" w:eastAsia="zh-CN"/>
              </w:rPr>
              <w:t>1</w:t>
            </w:r>
          </w:p>
        </w:tc>
        <w:tc>
          <w:tcPr>
            <w:tcW w:w="1800" w:type="dxa"/>
            <w:shd w:val="clear" w:color="auto" w:fill="auto"/>
            <w:vAlign w:val="center"/>
          </w:tcPr>
          <w:p>
            <w:pPr>
              <w:spacing w:line="400" w:lineRule="exact"/>
              <w:jc w:val="center"/>
              <w:rPr>
                <w:rFonts w:eastAsia="仿宋"/>
                <w:sz w:val="24"/>
                <w:szCs w:val="24"/>
              </w:rPr>
            </w:pPr>
            <w:r>
              <w:rPr>
                <w:rFonts w:hint="default" w:ascii="Times New Roman" w:hAnsi="Times New Roman" w:eastAsia="仿宋" w:cs="Times New Roman"/>
                <w:sz w:val="24"/>
                <w:szCs w:val="24"/>
              </w:rPr>
              <w:t>制定《浙江省水资源节约保护与利用总体规划》</w:t>
            </w:r>
          </w:p>
        </w:tc>
        <w:tc>
          <w:tcPr>
            <w:tcW w:w="1309" w:type="dxa"/>
            <w:shd w:val="clear" w:color="auto" w:fill="auto"/>
            <w:vAlign w:val="center"/>
          </w:tcPr>
          <w:p>
            <w:pPr>
              <w:jc w:val="center"/>
              <w:rPr>
                <w:rFonts w:hint="eastAsia" w:eastAsia="仿宋"/>
                <w:sz w:val="24"/>
                <w:szCs w:val="24"/>
              </w:rPr>
            </w:pPr>
            <w:r>
              <w:rPr>
                <w:rFonts w:hint="default" w:ascii="Times New Roman" w:hAnsi="Times New Roman" w:eastAsia="仿宋" w:cs="Times New Roman"/>
                <w:sz w:val="24"/>
                <w:szCs w:val="24"/>
              </w:rPr>
              <w:t>计划处</w:t>
            </w:r>
          </w:p>
        </w:tc>
        <w:tc>
          <w:tcPr>
            <w:tcW w:w="3266" w:type="dxa"/>
            <w:vAlign w:val="center"/>
          </w:tcPr>
          <w:p>
            <w:pPr>
              <w:spacing w:line="400" w:lineRule="exact"/>
              <w:jc w:val="center"/>
              <w:rPr>
                <w:rFonts w:hint="eastAsia" w:eastAsia="仿宋"/>
                <w:sz w:val="24"/>
                <w:szCs w:val="24"/>
              </w:rPr>
            </w:pPr>
            <w:r>
              <w:rPr>
                <w:rFonts w:hint="default" w:ascii="Times New Roman" w:hAnsi="Times New Roman" w:eastAsia="仿宋" w:cs="Times New Roman"/>
                <w:sz w:val="24"/>
                <w:szCs w:val="24"/>
              </w:rPr>
              <w:t>浙江省水资源条例</w:t>
            </w:r>
          </w:p>
        </w:tc>
        <w:tc>
          <w:tcPr>
            <w:tcW w:w="3397" w:type="dxa"/>
            <w:shd w:val="clear" w:color="auto" w:fill="auto"/>
            <w:vAlign w:val="center"/>
          </w:tcPr>
          <w:p>
            <w:pPr>
              <w:adjustRightInd w:val="0"/>
              <w:snapToGrid w:val="0"/>
              <w:spacing w:line="400" w:lineRule="exact"/>
              <w:jc w:val="center"/>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val="en-US" w:eastAsia="zh-CN"/>
              </w:rPr>
              <w:t>2020.01</w:t>
            </w:r>
            <w:r>
              <w:rPr>
                <w:rFonts w:hint="default"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2020</w:t>
            </w:r>
            <w:r>
              <w:rPr>
                <w:rFonts w:hint="default" w:ascii="Times New Roman" w:hAnsi="Times New Roman" w:eastAsia="仿宋" w:cs="Times New Roman"/>
                <w:sz w:val="24"/>
                <w:szCs w:val="24"/>
              </w:rPr>
              <w:t>.12：</w:t>
            </w:r>
            <w:r>
              <w:rPr>
                <w:rFonts w:hint="eastAsia" w:ascii="Times New Roman" w:hAnsi="Times New Roman" w:eastAsia="仿宋" w:cs="Times New Roman"/>
                <w:sz w:val="24"/>
                <w:szCs w:val="24"/>
                <w:lang w:eastAsia="zh-CN"/>
              </w:rPr>
              <w:t>调研准备</w:t>
            </w:r>
          </w:p>
          <w:p>
            <w:pPr>
              <w:adjustRightInd w:val="0"/>
              <w:snapToGrid w:val="0"/>
              <w:spacing w:line="400" w:lineRule="exact"/>
              <w:jc w:val="center"/>
              <w:rPr>
                <w:rFonts w:hint="eastAsia" w:ascii="Times New Roman" w:hAnsi="Times New Roman" w:eastAsia="仿宋" w:cs="Times New Roman"/>
                <w:sz w:val="24"/>
                <w:szCs w:val="24"/>
                <w:lang w:eastAsia="zh-CN"/>
              </w:rPr>
            </w:pPr>
            <w:r>
              <w:rPr>
                <w:rFonts w:hint="default" w:ascii="Times New Roman" w:hAnsi="Times New Roman" w:eastAsia="仿宋" w:cs="Times New Roman"/>
                <w:sz w:val="24"/>
                <w:szCs w:val="24"/>
              </w:rPr>
              <w:t>202</w:t>
            </w:r>
            <w:r>
              <w:rPr>
                <w:rFonts w:hint="eastAsia"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.01-2022.03：起草</w:t>
            </w:r>
            <w:r>
              <w:rPr>
                <w:rFonts w:hint="eastAsia" w:ascii="Times New Roman" w:hAnsi="Times New Roman" w:eastAsia="仿宋" w:cs="Times New Roman"/>
                <w:sz w:val="24"/>
                <w:szCs w:val="24"/>
                <w:lang w:eastAsia="zh-CN"/>
              </w:rPr>
              <w:t>论证</w:t>
            </w:r>
          </w:p>
          <w:p>
            <w:pPr>
              <w:spacing w:line="400" w:lineRule="exact"/>
              <w:jc w:val="center"/>
              <w:rPr>
                <w:rFonts w:eastAsia="仿宋"/>
                <w:sz w:val="24"/>
                <w:szCs w:val="24"/>
              </w:rPr>
            </w:pPr>
            <w:r>
              <w:rPr>
                <w:rFonts w:hint="default" w:ascii="Times New Roman" w:hAnsi="Times New Roman" w:eastAsia="仿宋" w:cs="Times New Roman"/>
                <w:sz w:val="24"/>
                <w:szCs w:val="24"/>
              </w:rPr>
              <w:t>2022.04-2023.06：完善阶段</w:t>
            </w:r>
          </w:p>
        </w:tc>
        <w:tc>
          <w:tcPr>
            <w:tcW w:w="1234" w:type="dxa"/>
            <w:vAlign w:val="center"/>
          </w:tcPr>
          <w:p>
            <w:pPr>
              <w:jc w:val="center"/>
              <w:rPr>
                <w:rFonts w:hint="eastAsia" w:eastAsia="仿宋"/>
                <w:sz w:val="24"/>
                <w:szCs w:val="24"/>
              </w:rPr>
            </w:pPr>
            <w:r>
              <w:rPr>
                <w:rFonts w:hint="default" w:ascii="Times New Roman" w:hAnsi="Times New Roman" w:eastAsia="仿宋" w:cs="Times New Roman"/>
                <w:sz w:val="24"/>
                <w:szCs w:val="24"/>
              </w:rPr>
              <w:t>是</w:t>
            </w:r>
          </w:p>
        </w:tc>
        <w:tc>
          <w:tcPr>
            <w:tcW w:w="975" w:type="dxa"/>
            <w:vAlign w:val="center"/>
          </w:tcPr>
          <w:p>
            <w:pPr>
              <w:jc w:val="center"/>
              <w:rPr>
                <w:rFonts w:hint="eastAsia" w:eastAsia="仿宋"/>
                <w:sz w:val="24"/>
                <w:szCs w:val="24"/>
              </w:rPr>
            </w:pPr>
            <w:r>
              <w:rPr>
                <w:rFonts w:hint="default" w:ascii="Times New Roman" w:hAnsi="Times New Roman" w:eastAsia="仿宋" w:cs="Times New Roman"/>
                <w:sz w:val="24"/>
                <w:szCs w:val="24"/>
              </w:rPr>
              <w:t>是</w:t>
            </w:r>
          </w:p>
        </w:tc>
        <w:tc>
          <w:tcPr>
            <w:tcW w:w="975" w:type="dxa"/>
            <w:vAlign w:val="center"/>
          </w:tcPr>
          <w:p>
            <w:pPr>
              <w:jc w:val="center"/>
              <w:rPr>
                <w:rFonts w:hint="eastAsia" w:eastAsia="仿宋"/>
                <w:sz w:val="24"/>
                <w:szCs w:val="24"/>
              </w:rPr>
            </w:pPr>
            <w:r>
              <w:rPr>
                <w:rFonts w:hint="default" w:ascii="Times New Roman" w:hAnsi="Times New Roman" w:eastAsia="仿宋" w:cs="Times New Roman"/>
                <w:sz w:val="24"/>
                <w:szCs w:val="24"/>
              </w:rPr>
              <w:t>否</w:t>
            </w:r>
          </w:p>
        </w:tc>
        <w:tc>
          <w:tcPr>
            <w:tcW w:w="1394" w:type="dxa"/>
            <w:vAlign w:val="center"/>
          </w:tcPr>
          <w:p>
            <w:pPr>
              <w:jc w:val="center"/>
              <w:rPr>
                <w:rFonts w:hint="eastAsia" w:eastAsia="仿宋"/>
                <w:sz w:val="24"/>
                <w:szCs w:val="24"/>
              </w:rPr>
            </w:pPr>
            <w:r>
              <w:rPr>
                <w:rFonts w:hint="default" w:ascii="Times New Roman" w:hAnsi="Times New Roman" w:eastAsia="仿宋"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73"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default" w:ascii="Times New Roman" w:hAnsi="Times New Roman" w:eastAsia="仿宋" w:cs="Times New Roman"/>
                <w:sz w:val="24"/>
                <w:szCs w:val="24"/>
                <w:lang w:val="en-US"/>
              </w:rPr>
              <w:t>2</w:t>
            </w:r>
          </w:p>
        </w:tc>
        <w:tc>
          <w:tcPr>
            <w:tcW w:w="1800" w:type="dxa"/>
            <w:shd w:val="clear" w:color="auto" w:fill="auto"/>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制定《杭嘉湖区域防洪规划》</w:t>
            </w:r>
          </w:p>
        </w:tc>
        <w:tc>
          <w:tcPr>
            <w:tcW w:w="1309" w:type="dxa"/>
            <w:shd w:val="clear" w:color="auto" w:fill="auto"/>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计划处</w:t>
            </w:r>
          </w:p>
        </w:tc>
        <w:tc>
          <w:tcPr>
            <w:tcW w:w="3266" w:type="dxa"/>
            <w:vAlign w:val="center"/>
          </w:tcPr>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防洪法</w:t>
            </w:r>
          </w:p>
        </w:tc>
        <w:tc>
          <w:tcPr>
            <w:tcW w:w="3397" w:type="dxa"/>
            <w:shd w:val="clear" w:color="auto" w:fill="auto"/>
            <w:vAlign w:val="center"/>
          </w:tcPr>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w:t>
            </w:r>
            <w:r>
              <w:rPr>
                <w:rFonts w:ascii="Times New Roman" w:hAnsi="Times New Roman" w:eastAsia="仿宋" w:cs="Times New Roman"/>
                <w:sz w:val="24"/>
                <w:szCs w:val="24"/>
              </w:rPr>
              <w:t>20</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：准备阶段</w:t>
            </w:r>
          </w:p>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202</w:t>
            </w:r>
            <w:r>
              <w:rPr>
                <w:rFonts w:ascii="Times New Roman" w:hAnsi="Times New Roman" w:eastAsia="仿宋" w:cs="Times New Roman"/>
                <w:sz w:val="24"/>
                <w:szCs w:val="24"/>
              </w:rPr>
              <w:t>1</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：起草阶段</w:t>
            </w:r>
          </w:p>
          <w:p>
            <w:pPr>
              <w:adjustRightInd w:val="0"/>
              <w:snapToGrid w:val="0"/>
              <w:spacing w:line="400" w:lineRule="exact"/>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202</w:t>
            </w:r>
            <w:r>
              <w:rPr>
                <w:rFonts w:ascii="Times New Roman" w:hAnsi="Times New Roman" w:eastAsia="仿宋" w:cs="Times New Roman"/>
                <w:sz w:val="24"/>
                <w:szCs w:val="24"/>
              </w:rPr>
              <w:t>3</w:t>
            </w:r>
            <w:r>
              <w:rPr>
                <w:rFonts w:hint="eastAsia" w:ascii="Times New Roman" w:hAnsi="Times New Roman" w:eastAsia="仿宋" w:cs="Times New Roman"/>
                <w:sz w:val="24"/>
                <w:szCs w:val="24"/>
              </w:rPr>
              <w:t>.</w:t>
            </w:r>
            <w:r>
              <w:rPr>
                <w:rFonts w:ascii="Times New Roman" w:hAnsi="Times New Roman" w:eastAsia="仿宋" w:cs="Times New Roman"/>
                <w:sz w:val="24"/>
                <w:szCs w:val="24"/>
              </w:rPr>
              <w:t>07</w:t>
            </w:r>
            <w:r>
              <w:rPr>
                <w:rFonts w:hint="eastAsia" w:ascii="Times New Roman" w:hAnsi="Times New Roman" w:eastAsia="仿宋" w:cs="Times New Roman"/>
                <w:sz w:val="24"/>
                <w:szCs w:val="24"/>
              </w:rPr>
              <w:t>-202</w:t>
            </w:r>
            <w:r>
              <w:rPr>
                <w:rFonts w:ascii="Times New Roman" w:hAnsi="Times New Roman" w:eastAsia="仿宋" w:cs="Times New Roman"/>
                <w:sz w:val="24"/>
                <w:szCs w:val="24"/>
              </w:rPr>
              <w:t>4</w:t>
            </w:r>
            <w:r>
              <w:rPr>
                <w:rFonts w:hint="eastAsia" w:ascii="Times New Roman" w:hAnsi="Times New Roman" w:eastAsia="仿宋" w:cs="Times New Roman"/>
                <w:sz w:val="24"/>
                <w:szCs w:val="24"/>
              </w:rPr>
              <w:t>.</w:t>
            </w:r>
            <w:r>
              <w:rPr>
                <w:rFonts w:ascii="Times New Roman" w:hAnsi="Times New Roman" w:eastAsia="仿宋" w:cs="Times New Roman"/>
                <w:sz w:val="24"/>
                <w:szCs w:val="24"/>
              </w:rPr>
              <w:t>06</w:t>
            </w:r>
            <w:r>
              <w:rPr>
                <w:rFonts w:hint="eastAsia" w:ascii="Times New Roman" w:hAnsi="Times New Roman" w:eastAsia="仿宋" w:cs="Times New Roman"/>
                <w:sz w:val="24"/>
                <w:szCs w:val="24"/>
              </w:rPr>
              <w:t>：完善阶段</w:t>
            </w:r>
          </w:p>
        </w:tc>
        <w:tc>
          <w:tcPr>
            <w:tcW w:w="1234" w:type="dxa"/>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是</w:t>
            </w:r>
          </w:p>
        </w:tc>
        <w:tc>
          <w:tcPr>
            <w:tcW w:w="975" w:type="dxa"/>
            <w:vAlign w:val="center"/>
          </w:tcPr>
          <w:p>
            <w:pPr>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是</w:t>
            </w:r>
          </w:p>
        </w:tc>
        <w:tc>
          <w:tcPr>
            <w:tcW w:w="975" w:type="dxa"/>
            <w:vAlign w:val="center"/>
          </w:tcPr>
          <w:p>
            <w:pPr>
              <w:adjustRightInd w:val="0"/>
              <w:snapToGrid w:val="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否</w:t>
            </w:r>
          </w:p>
        </w:tc>
        <w:tc>
          <w:tcPr>
            <w:tcW w:w="1394" w:type="dxa"/>
            <w:vAlign w:val="center"/>
          </w:tcPr>
          <w:p>
            <w:pPr>
              <w:adjustRightInd w:val="0"/>
              <w:snapToGrid w:val="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73" w:type="dxa"/>
            <w:shd w:val="clear" w:color="auto" w:fill="auto"/>
            <w:vAlign w:val="center"/>
          </w:tcPr>
          <w:p>
            <w:pPr>
              <w:adjustRightInd w:val="0"/>
              <w:snapToGrid w:val="0"/>
              <w:jc w:val="center"/>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w:t>
            </w:r>
          </w:p>
        </w:tc>
        <w:tc>
          <w:tcPr>
            <w:tcW w:w="1800" w:type="dxa"/>
            <w:shd w:val="clear" w:color="auto" w:fill="auto"/>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出台《浙江省全域幸福河湖建设行动计划》</w:t>
            </w:r>
          </w:p>
        </w:tc>
        <w:tc>
          <w:tcPr>
            <w:tcW w:w="1309" w:type="dxa"/>
            <w:shd w:val="clear" w:color="auto" w:fill="auto"/>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default" w:ascii="仿宋" w:hAnsi="仿宋" w:eastAsia="仿宋" w:cs="仿宋"/>
                <w:color w:val="000000"/>
                <w:sz w:val="24"/>
                <w:szCs w:val="24"/>
                <w:lang w:val="en-US" w:eastAsia="zh-CN"/>
              </w:rPr>
              <w:t>河湖处</w:t>
            </w:r>
          </w:p>
        </w:tc>
        <w:tc>
          <w:tcPr>
            <w:tcW w:w="3266"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省第十五次党代会把“全域建设幸福河湖”写入大会报告；省委十五届二次全会《决定》再次强调要“深化河湖长制，全域建设幸福河湖”。我厅向省政府专题报送“关于深入贯彻十五次党代会精神谋划全域建设幸福河湖有关情况的汇报”，经省政府同意，以省全面推行河湖长制联席会议制度统筹推进全域建设幸福河湖。</w:t>
            </w:r>
          </w:p>
        </w:tc>
        <w:tc>
          <w:tcPr>
            <w:tcW w:w="3397" w:type="dxa"/>
            <w:shd w:val="clear" w:color="auto" w:fill="auto"/>
            <w:vAlign w:val="center"/>
          </w:tcPr>
          <w:p>
            <w:pPr>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2022.09-2022.12：准备阶段</w:t>
            </w:r>
          </w:p>
          <w:p>
            <w:pPr>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2023.1-2023.3：起草阶段</w:t>
            </w:r>
          </w:p>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2023.4-2023.6：完善阶段</w:t>
            </w:r>
          </w:p>
        </w:tc>
        <w:tc>
          <w:tcPr>
            <w:tcW w:w="1234"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是</w:t>
            </w:r>
          </w:p>
        </w:tc>
        <w:tc>
          <w:tcPr>
            <w:tcW w:w="975"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是</w:t>
            </w:r>
          </w:p>
        </w:tc>
        <w:tc>
          <w:tcPr>
            <w:tcW w:w="975"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否</w:t>
            </w:r>
          </w:p>
        </w:tc>
        <w:tc>
          <w:tcPr>
            <w:tcW w:w="1394" w:type="dxa"/>
            <w:vAlign w:val="center"/>
          </w:tcPr>
          <w:p>
            <w:pPr>
              <w:snapToGrid w:val="0"/>
              <w:spacing w:line="240" w:lineRule="atLeas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否</w:t>
            </w:r>
          </w:p>
        </w:tc>
      </w:tr>
    </w:tbl>
    <w:p/>
    <w:sectPr>
      <w:pgSz w:w="16838" w:h="11906" w:orient="landscape"/>
      <w:pgMar w:top="1134" w:right="1440" w:bottom="1134"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24"/>
    <w:rsid w:val="000D566C"/>
    <w:rsid w:val="0015505E"/>
    <w:rsid w:val="003006B0"/>
    <w:rsid w:val="004208C3"/>
    <w:rsid w:val="00590624"/>
    <w:rsid w:val="0068017E"/>
    <w:rsid w:val="00710EF5"/>
    <w:rsid w:val="007E2D18"/>
    <w:rsid w:val="007F501D"/>
    <w:rsid w:val="00802218"/>
    <w:rsid w:val="008B5B65"/>
    <w:rsid w:val="009D719C"/>
    <w:rsid w:val="00A67600"/>
    <w:rsid w:val="00B52B6B"/>
    <w:rsid w:val="00B97628"/>
    <w:rsid w:val="00BC3D36"/>
    <w:rsid w:val="00CA19A5"/>
    <w:rsid w:val="00CF4EDE"/>
    <w:rsid w:val="00D333B0"/>
    <w:rsid w:val="00DA328A"/>
    <w:rsid w:val="00DB70D4"/>
    <w:rsid w:val="00E4011F"/>
    <w:rsid w:val="05FC53F6"/>
    <w:rsid w:val="09A125D3"/>
    <w:rsid w:val="223610FC"/>
    <w:rsid w:val="2DF786EB"/>
    <w:rsid w:val="317F2901"/>
    <w:rsid w:val="45FD5C1B"/>
    <w:rsid w:val="52BB2CA9"/>
    <w:rsid w:val="5D7435A7"/>
    <w:rsid w:val="5FF90E02"/>
    <w:rsid w:val="666B7B15"/>
    <w:rsid w:val="68131832"/>
    <w:rsid w:val="6E8E644F"/>
    <w:rsid w:val="6F404F21"/>
    <w:rsid w:val="78A1053B"/>
    <w:rsid w:val="7B4C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32"/>
    </w:rPr>
  </w:style>
  <w:style w:type="paragraph" w:styleId="3">
    <w:name w:val="Body Text"/>
    <w:basedOn w:val="1"/>
    <w:next w:val="4"/>
    <w:qFormat/>
    <w:uiPriority w:val="0"/>
    <w:pPr>
      <w:spacing w:after="120"/>
    </w:pPr>
  </w:style>
  <w:style w:type="paragraph" w:styleId="4">
    <w:name w:val="Body Text First Indent 2"/>
    <w:basedOn w:val="5"/>
    <w:next w:val="3"/>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仿宋_GB2312"/>
      <w:kern w:val="2"/>
      <w:sz w:val="32"/>
      <w:szCs w:val="32"/>
      <w:lang w:val="en-US" w:eastAsia="zh-CN" w:bidi="ar"/>
    </w:rPr>
  </w:style>
  <w:style w:type="paragraph" w:styleId="5">
    <w:name w:val="Body Text Indent"/>
    <w:basedOn w:val="1"/>
    <w:next w:val="6"/>
    <w:qFormat/>
    <w:uiPriority w:val="0"/>
    <w:pPr>
      <w:spacing w:after="120" w:afterLines="0" w:afterAutospacing="0"/>
      <w:ind w:left="420" w:leftChars="200"/>
    </w:pPr>
  </w:style>
  <w:style w:type="paragraph" w:styleId="6">
    <w:name w:val="Normal Indent"/>
    <w:basedOn w:val="1"/>
    <w:next w:val="5"/>
    <w:qFormat/>
    <w:uiPriority w:val="0"/>
    <w:pPr>
      <w:keepNext w:val="0"/>
      <w:keepLines w:val="0"/>
      <w:widowControl w:val="0"/>
      <w:suppressLineNumbers w:val="0"/>
      <w:spacing w:before="0" w:beforeAutospacing="0" w:after="0" w:afterAutospacing="0"/>
      <w:ind w:left="0" w:right="0" w:firstLine="200" w:firstLineChars="200"/>
      <w:jc w:val="both"/>
    </w:pPr>
    <w:rPr>
      <w:rFonts w:hint="default" w:ascii="Times New Roman" w:hAnsi="Times New Roman" w:eastAsia="宋体" w:cs="Times New Roman"/>
      <w:kern w:val="2"/>
      <w:sz w:val="32"/>
      <w:szCs w:val="32"/>
      <w:lang w:val="en-US" w:eastAsia="zh-CN" w:bidi="ar"/>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191</Characters>
  <Lines>1</Lines>
  <Paragraphs>1</Paragraphs>
  <TotalTime>3</TotalTime>
  <ScaleCrop>false</ScaleCrop>
  <LinksUpToDate>false</LinksUpToDate>
  <CharactersWithSpaces>223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2021-01-08T23:55:00Z</dcterms:created>
  <dc:creator>黄臻</dc:creator>
  <cp:lastModifiedBy>聂婷</cp:lastModifiedBy>
  <cp:lastPrinted>2023-03-17T01:40:00Z</cp:lastPrinted>
  <dcterms:modified xsi:type="dcterms:W3CDTF">2023-03-17T01:44:07Z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E8B39508E0064810923370D581DDA830</vt:lpwstr>
  </property>
</Properties>
</file>