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4"/>
        <w:ind w:left="0" w:leftChars="0" w:firstLine="0" w:firstLineChars="0"/>
        <w:jc w:val="left"/>
        <w:rPr>
          <w:rFonts w:hint="default" w:ascii="Times New Roman" w:hAnsi="Times New Roman" w:cs="Times New Roman"/>
        </w:rPr>
      </w:pPr>
      <w:r>
        <w:rPr>
          <w:rFonts w:hint="eastAsia" w:ascii="黑体" w:hAnsi="黑体" w:eastAsia="黑体" w:cs="黑体"/>
          <w:color w:val="000000" w:themeColor="text1"/>
          <w:sz w:val="32"/>
          <w:szCs w:val="32"/>
          <w:lang w:val="en-US" w:eastAsia="zh-CN"/>
        </w:rPr>
        <w:t>附件2</w:t>
      </w:r>
      <w:r>
        <w:rPr>
          <w:rFonts w:hint="default" w:ascii="Times New Roman" w:hAnsi="Times New Roman" w:cs="Times New Roman"/>
        </w:rPr>
        <w:tab/>
      </w:r>
    </w:p>
    <w:p>
      <w:pPr>
        <w:pStyle w:val="112"/>
        <w:framePr w:w="0" w:hRule="auto" w:wrap="auto" w:vAnchor="margin" w:hAnchor="text" w:xAlign="left" w:yAlign="inline"/>
        <w:rPr>
          <w:rFonts w:hint="default" w:ascii="Times New Roman" w:hAnsi="Times New Roman" w:cs="Times New Roman"/>
        </w:rPr>
      </w:pPr>
    </w:p>
    <w:p>
      <w:pPr>
        <w:pStyle w:val="112"/>
        <w:framePr w:w="0" w:hRule="auto" w:wrap="auto" w:vAnchor="margin" w:hAnchor="text" w:xAlign="left" w:yAlign="inline"/>
        <w:rPr>
          <w:rFonts w:hint="default" w:ascii="Times New Roman" w:hAnsi="Times New Roman" w:cs="Times New Roman"/>
        </w:rPr>
      </w:pPr>
    </w:p>
    <w:p>
      <w:pPr>
        <w:pStyle w:val="112"/>
        <w:framePr w:w="0" w:hRule="auto" w:wrap="auto" w:vAnchor="margin" w:hAnchor="text" w:xAlign="left" w:yAlign="inline"/>
        <w:rPr>
          <w:rFonts w:hint="default" w:ascii="Times New Roman" w:hAnsi="Times New Roman" w:cs="Times New Roman"/>
        </w:rPr>
      </w:pPr>
    </w:p>
    <w:p>
      <w:pPr>
        <w:pStyle w:val="112"/>
        <w:keepNext w:val="0"/>
        <w:keepLines w:val="0"/>
        <w:pageBreakBefore w:val="0"/>
        <w:framePr w:w="0" w:hRule="auto" w:wrap="auto" w:vAnchor="margin" w:hAnchor="text" w:xAlign="left" w:yAlign="inline"/>
        <w:widowControl w:val="0"/>
        <w:kinsoku/>
        <w:wordWrap/>
        <w:overflowPunct/>
        <w:topLinePunct w:val="0"/>
        <w:autoSpaceDE/>
        <w:autoSpaceDN/>
        <w:bidi w:val="0"/>
        <w:adjustRightInd/>
        <w:snapToGrid/>
        <w:spacing w:line="900" w:lineRule="exact"/>
        <w:rPr>
          <w:rFonts w:hint="default" w:ascii="Times New Roman" w:hAnsi="Times New Roman" w:eastAsia="方正小标宋简体" w:cs="Times New Roman"/>
          <w:sz w:val="56"/>
          <w:szCs w:val="56"/>
        </w:rPr>
      </w:pPr>
      <w:r>
        <w:rPr>
          <w:rFonts w:hint="default" w:ascii="Times New Roman" w:hAnsi="Times New Roman" w:eastAsia="方正小标宋简体" w:cs="Times New Roman"/>
          <w:sz w:val="56"/>
          <w:szCs w:val="56"/>
        </w:rPr>
        <w:t>浙江省小型水库物业化服务标准</w:t>
      </w:r>
    </w:p>
    <w:p>
      <w:pPr>
        <w:keepNext w:val="0"/>
        <w:keepLines w:val="0"/>
        <w:pageBreakBefore w:val="0"/>
        <w:widowControl w:val="0"/>
        <w:kinsoku/>
        <w:wordWrap/>
        <w:overflowPunct/>
        <w:topLinePunct w:val="0"/>
        <w:autoSpaceDE/>
        <w:autoSpaceDN/>
        <w:bidi w:val="0"/>
        <w:adjustRightInd/>
        <w:snapToGrid/>
        <w:spacing w:line="900" w:lineRule="exact"/>
        <w:jc w:val="center"/>
        <w:rPr>
          <w:rFonts w:hint="default" w:ascii="Times New Roman" w:hAnsi="Times New Roman" w:eastAsia="方正小标宋简体" w:cs="Times New Roman"/>
          <w:sz w:val="54"/>
          <w:szCs w:val="54"/>
        </w:rPr>
      </w:pPr>
      <w:r>
        <w:rPr>
          <w:rFonts w:hint="default" w:ascii="Times New Roman" w:hAnsi="Times New Roman" w:eastAsia="方正小标宋简体" w:cs="Times New Roman"/>
          <w:sz w:val="54"/>
          <w:szCs w:val="54"/>
        </w:rPr>
        <w:t>（试行）</w:t>
      </w:r>
    </w:p>
    <w:p>
      <w:pPr>
        <w:pStyle w:val="112"/>
        <w:framePr w:w="0" w:hRule="auto" w:wrap="auto" w:vAnchor="margin" w:hAnchor="text" w:xAlign="left" w:yAlign="inline"/>
        <w:rPr>
          <w:rFonts w:hint="default" w:ascii="Times New Roman" w:hAnsi="Times New Roman" w:cs="Times New Roman"/>
        </w:rPr>
      </w:pPr>
    </w:p>
    <w:p>
      <w:pPr>
        <w:pStyle w:val="112"/>
        <w:framePr w:w="0" w:hRule="auto" w:wrap="auto" w:vAnchor="margin" w:hAnchor="text" w:xAlign="left" w:yAlign="inline"/>
        <w:rPr>
          <w:rFonts w:hint="default" w:ascii="Times New Roman" w:hAnsi="Times New Roman" w:cs="Times New Roman"/>
        </w:rPr>
      </w:pPr>
    </w:p>
    <w:p>
      <w:pPr>
        <w:pStyle w:val="112"/>
        <w:framePr w:w="0" w:hRule="auto" w:wrap="auto" w:vAnchor="margin" w:hAnchor="text" w:xAlign="left" w:yAlign="inline"/>
        <w:ind w:left="0" w:leftChars="0"/>
        <w:jc w:val="both"/>
        <w:rPr>
          <w:rFonts w:hint="default" w:ascii="Times New Roman" w:hAnsi="Times New Roman" w:cs="Times New Roman"/>
          <w:sz w:val="30"/>
          <w:szCs w:val="30"/>
        </w:rPr>
      </w:pPr>
    </w:p>
    <w:p>
      <w:pPr>
        <w:pStyle w:val="112"/>
        <w:framePr w:w="0" w:hRule="auto" w:wrap="auto" w:vAnchor="margin" w:hAnchor="text" w:xAlign="left" w:yAlign="inline"/>
        <w:ind w:left="0" w:leftChars="0"/>
        <w:jc w:val="both"/>
        <w:rPr>
          <w:rFonts w:hint="default" w:ascii="Times New Roman" w:hAnsi="Times New Roman" w:cs="Times New Roman"/>
          <w:sz w:val="30"/>
          <w:szCs w:val="30"/>
        </w:rPr>
      </w:pPr>
    </w:p>
    <w:p>
      <w:pPr>
        <w:pStyle w:val="112"/>
        <w:framePr w:w="0" w:hRule="auto" w:wrap="auto" w:vAnchor="margin" w:hAnchor="text" w:xAlign="left" w:yAlign="inline"/>
        <w:ind w:left="0" w:leftChars="0"/>
        <w:jc w:val="both"/>
        <w:rPr>
          <w:rFonts w:hint="default" w:ascii="Times New Roman" w:hAnsi="Times New Roman" w:cs="Times New Roman"/>
          <w:sz w:val="30"/>
          <w:szCs w:val="30"/>
        </w:rPr>
      </w:pPr>
    </w:p>
    <w:p>
      <w:pPr>
        <w:pStyle w:val="112"/>
        <w:framePr w:w="0" w:hRule="auto" w:wrap="auto" w:vAnchor="margin" w:hAnchor="text" w:xAlign="left" w:yAlign="inline"/>
        <w:ind w:left="0" w:leftChars="0"/>
        <w:jc w:val="both"/>
        <w:rPr>
          <w:rFonts w:hint="default" w:ascii="Times New Roman" w:hAnsi="Times New Roman" w:cs="Times New Roman"/>
          <w:sz w:val="30"/>
          <w:szCs w:val="30"/>
        </w:rPr>
      </w:pPr>
    </w:p>
    <w:p>
      <w:pPr>
        <w:pStyle w:val="112"/>
        <w:framePr w:w="0" w:hRule="auto" w:wrap="auto" w:vAnchor="margin" w:hAnchor="text" w:xAlign="left" w:yAlign="inline"/>
        <w:ind w:left="0" w:leftChars="0"/>
        <w:jc w:val="both"/>
        <w:rPr>
          <w:rFonts w:hint="default" w:ascii="Times New Roman" w:hAnsi="Times New Roman" w:cs="Times New Roman"/>
          <w:sz w:val="30"/>
          <w:szCs w:val="30"/>
        </w:rPr>
      </w:pPr>
    </w:p>
    <w:p>
      <w:pPr>
        <w:pStyle w:val="112"/>
        <w:framePr w:w="0" w:hRule="auto" w:wrap="auto" w:vAnchor="margin" w:hAnchor="text" w:xAlign="left" w:yAlign="inline"/>
        <w:ind w:left="0" w:leftChars="0"/>
        <w:jc w:val="both"/>
        <w:rPr>
          <w:rFonts w:hint="default" w:ascii="Times New Roman" w:hAnsi="Times New Roman" w:cs="Times New Roman"/>
          <w:sz w:val="30"/>
          <w:szCs w:val="30"/>
        </w:rPr>
      </w:pPr>
    </w:p>
    <w:p>
      <w:pPr>
        <w:pStyle w:val="112"/>
        <w:framePr w:w="0" w:hRule="auto" w:wrap="auto" w:vAnchor="margin" w:hAnchor="text" w:xAlign="left" w:yAlign="inline"/>
        <w:ind w:left="0" w:leftChars="0"/>
        <w:jc w:val="both"/>
        <w:rPr>
          <w:rFonts w:hint="default" w:ascii="Times New Roman" w:hAnsi="Times New Roman" w:cs="Times New Roman"/>
          <w:sz w:val="30"/>
          <w:szCs w:val="30"/>
        </w:rPr>
      </w:pPr>
    </w:p>
    <w:p>
      <w:pPr>
        <w:pStyle w:val="112"/>
        <w:framePr w:w="0" w:hRule="auto" w:wrap="auto" w:vAnchor="margin" w:hAnchor="text" w:xAlign="left" w:yAlign="inline"/>
        <w:ind w:left="0" w:leftChars="0"/>
        <w:jc w:val="both"/>
        <w:rPr>
          <w:rFonts w:hint="default" w:ascii="Times New Roman" w:hAnsi="Times New Roman" w:cs="Times New Roman"/>
          <w:sz w:val="30"/>
          <w:szCs w:val="30"/>
        </w:rPr>
      </w:pPr>
    </w:p>
    <w:p>
      <w:pPr>
        <w:pStyle w:val="112"/>
        <w:framePr w:w="0" w:hRule="auto" w:wrap="auto" w:vAnchor="margin" w:hAnchor="text" w:xAlign="left" w:yAlign="inline"/>
        <w:ind w:left="0" w:leftChars="0"/>
        <w:jc w:val="both"/>
        <w:rPr>
          <w:rFonts w:hint="default" w:ascii="Times New Roman" w:hAnsi="Times New Roman" w:cs="Times New Roman"/>
          <w:sz w:val="30"/>
          <w:szCs w:val="30"/>
        </w:rPr>
      </w:pPr>
    </w:p>
    <w:p>
      <w:pPr>
        <w:jc w:val="center"/>
        <w:rPr>
          <w:rFonts w:hint="default" w:ascii="Times New Roman" w:hAnsi="Times New Roman" w:cs="Times New Roman"/>
          <w:sz w:val="44"/>
          <w:szCs w:val="44"/>
        </w:rPr>
      </w:pPr>
    </w:p>
    <w:p>
      <w:pPr>
        <w:pStyle w:val="112"/>
        <w:framePr w:w="0" w:hRule="auto" w:wrap="auto" w:vAnchor="margin" w:hAnchor="text" w:xAlign="left" w:yAlign="inline"/>
        <w:rPr>
          <w:rFonts w:hint="default" w:ascii="Times New Roman" w:hAnsi="Times New Roman" w:eastAsia="仿宋_GB2312" w:cs="Times New Roman"/>
          <w:b/>
          <w:bCs/>
          <w:sz w:val="32"/>
          <w:szCs w:val="32"/>
        </w:rPr>
      </w:pPr>
      <w:bookmarkStart w:id="0" w:name="_Toc493772580"/>
      <w:bookmarkStart w:id="1" w:name="_Toc493773236"/>
      <w:bookmarkStart w:id="2" w:name="_Toc491514443"/>
      <w:bookmarkStart w:id="3" w:name="_Toc490318890"/>
      <w:r>
        <w:rPr>
          <w:rFonts w:hint="default" w:ascii="Times New Roman" w:hAnsi="Times New Roman" w:eastAsia="仿宋_GB2312" w:cs="Times New Roman"/>
          <w:b/>
          <w:bCs/>
          <w:sz w:val="32"/>
          <w:szCs w:val="32"/>
        </w:rPr>
        <w:t xml:space="preserve">浙江省水利水电工程管理协会  </w:t>
      </w:r>
    </w:p>
    <w:p>
      <w:pPr>
        <w:jc w:val="center"/>
        <w:rPr>
          <w:rFonts w:hint="default" w:ascii="Times New Roman" w:hAnsi="Times New Roman" w:eastAsia="仿宋_GB2312" w:cs="Times New Roman"/>
          <w:b/>
          <w:bCs/>
          <w:sz w:val="32"/>
          <w:szCs w:val="32"/>
        </w:rPr>
        <w:sectPr>
          <w:headerReference r:id="rId3" w:type="even"/>
          <w:footerReference r:id="rId4" w:type="even"/>
          <w:pgSz w:w="11906" w:h="16838"/>
          <w:pgMar w:top="1134" w:right="1134" w:bottom="1134" w:left="1418" w:header="1134" w:footer="1134" w:gutter="0"/>
          <w:pgNumType w:fmt="upperRoman" w:start="1"/>
          <w:cols w:space="425" w:num="1"/>
          <w:formProt w:val="0"/>
          <w:docGrid w:type="lines" w:linePitch="312" w:charSpace="0"/>
        </w:sectPr>
      </w:pPr>
      <w:r>
        <w:rPr>
          <w:rFonts w:hint="default" w:ascii="Times New Roman" w:hAnsi="Times New Roman" w:eastAsia="仿宋_GB2312" w:cs="Times New Roman"/>
          <w:b/>
          <w:bCs/>
          <w:sz w:val="32"/>
          <w:szCs w:val="32"/>
        </w:rPr>
        <w:t>2024 年 04 月</w:t>
      </w:r>
    </w:p>
    <w:p>
      <w:pPr>
        <w:pStyle w:val="217"/>
        <w:spacing w:after="468"/>
        <w:rPr>
          <w:rFonts w:hint="default" w:ascii="Times New Roman" w:hAnsi="Times New Roman" w:cs="Times New Roman"/>
        </w:rPr>
      </w:pPr>
      <w:r>
        <w:rPr>
          <w:rFonts w:hint="default" w:ascii="Times New Roman" w:hAnsi="Times New Roman" w:cs="Times New Roman"/>
          <w:spacing w:val="320"/>
        </w:rPr>
        <w:t>目</w:t>
      </w:r>
      <w:r>
        <w:rPr>
          <w:rFonts w:hint="default" w:ascii="Times New Roman" w:hAnsi="Times New Roman" w:cs="Times New Roman"/>
        </w:rPr>
        <w:t>次</w:t>
      </w:r>
    </w:p>
    <w:p>
      <w:pPr>
        <w:pStyle w:val="30"/>
        <w:spacing w:before="78" w:after="78"/>
        <w:rPr>
          <w:rFonts w:hint="default" w:ascii="Times New Roman" w:hAnsi="Times New Roman" w:cs="Times New Roman" w:eastAsiaTheme="minorEastAsia"/>
          <w:szCs w:val="22"/>
        </w:rPr>
      </w:pPr>
      <w:r>
        <w:rPr>
          <w:rFonts w:hint="default" w:ascii="Times New Roman" w:hAnsi="Times New Roman" w:cs="Times New Roman"/>
        </w:rPr>
        <w:fldChar w:fldCharType="begin"/>
      </w:r>
      <w:r>
        <w:rPr>
          <w:rFonts w:hint="default" w:ascii="Times New Roman" w:hAnsi="Times New Roman" w:cs="Times New Roman"/>
        </w:rPr>
        <w:instrText xml:space="preserve"> TOC \o "1-3" \h \z \u </w:instrText>
      </w:r>
      <w:r>
        <w:rPr>
          <w:rFonts w:hint="default" w:ascii="Times New Roman" w:hAnsi="Times New Roman" w:cs="Times New Roman"/>
        </w:rPr>
        <w:fldChar w:fldCharType="separate"/>
      </w:r>
      <w:r>
        <w:rPr>
          <w:rFonts w:hint="default" w:ascii="Times New Roman" w:hAnsi="Times New Roman" w:cs="Times New Roman"/>
        </w:rPr>
        <w:fldChar w:fldCharType="begin"/>
      </w:r>
      <w:r>
        <w:rPr>
          <w:rFonts w:hint="default" w:ascii="Times New Roman" w:hAnsi="Times New Roman" w:cs="Times New Roman"/>
        </w:rPr>
        <w:instrText xml:space="preserve"> HYPERLINK \l "_Toc163465886" </w:instrText>
      </w:r>
      <w:r>
        <w:rPr>
          <w:rFonts w:hint="default" w:ascii="Times New Roman" w:hAnsi="Times New Roman" w:cs="Times New Roman"/>
        </w:rPr>
        <w:fldChar w:fldCharType="separate"/>
      </w:r>
      <w:r>
        <w:rPr>
          <w:rStyle w:val="52"/>
          <w:rFonts w:hint="default" w:ascii="Times New Roman" w:hAnsi="Times New Roman" w:cs="Times New Roman"/>
          <w:spacing w:val="320"/>
        </w:rPr>
        <w:t>前</w:t>
      </w:r>
      <w:r>
        <w:rPr>
          <w:rStyle w:val="52"/>
          <w:rFonts w:hint="default" w:ascii="Times New Roman" w:hAnsi="Times New Roman" w:cs="Times New Roman"/>
        </w:rPr>
        <w:t>言</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_Toc163465886 \h </w:instrText>
      </w:r>
      <w:r>
        <w:rPr>
          <w:rFonts w:hint="default" w:ascii="Times New Roman" w:hAnsi="Times New Roman" w:cs="Times New Roman"/>
        </w:rPr>
        <w:fldChar w:fldCharType="separate"/>
      </w:r>
      <w:r>
        <w:rPr>
          <w:rFonts w:hint="default" w:ascii="Times New Roman" w:hAnsi="Times New Roman" w:cs="Times New Roman"/>
        </w:rPr>
        <w:t>I</w:t>
      </w:r>
      <w:r>
        <w:rPr>
          <w:rFonts w:hint="default" w:ascii="Times New Roman" w:hAnsi="Times New Roman" w:cs="Times New Roman"/>
        </w:rPr>
        <w:fldChar w:fldCharType="end"/>
      </w:r>
      <w:r>
        <w:rPr>
          <w:rFonts w:hint="default" w:ascii="Times New Roman" w:hAnsi="Times New Roman" w:cs="Times New Roman"/>
        </w:rPr>
        <w:fldChar w:fldCharType="end"/>
      </w:r>
    </w:p>
    <w:p>
      <w:pPr>
        <w:pStyle w:val="40"/>
        <w:rPr>
          <w:rFonts w:hint="default" w:ascii="Times New Roman" w:hAnsi="Times New Roman" w:cs="Times New Roman" w:eastAsiaTheme="minorEastAsia"/>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"_Toc163465887" </w:instrText>
      </w:r>
      <w:r>
        <w:rPr>
          <w:rFonts w:hint="default" w:ascii="Times New Roman" w:hAnsi="Times New Roman" w:cs="Times New Roman"/>
        </w:rPr>
        <w:fldChar w:fldCharType="separate"/>
      </w:r>
      <w:r>
        <w:rPr>
          <w:rStyle w:val="52"/>
          <w:rFonts w:hint="default" w:ascii="Times New Roman" w:hAnsi="Times New Roman" w:cs="Times New Roman"/>
        </w:rPr>
        <w:t>1 范围</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_Toc163465887 \h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rFonts w:hint="default" w:ascii="Times New Roman" w:hAnsi="Times New Roman" w:cs="Times New Roman"/>
        </w:rPr>
        <w:fldChar w:fldCharType="end"/>
      </w:r>
    </w:p>
    <w:p>
      <w:pPr>
        <w:pStyle w:val="40"/>
        <w:rPr>
          <w:rFonts w:hint="default" w:ascii="Times New Roman" w:hAnsi="Times New Roman" w:cs="Times New Roman" w:eastAsiaTheme="minorEastAsia"/>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"_Toc163465888" </w:instrText>
      </w:r>
      <w:r>
        <w:rPr>
          <w:rFonts w:hint="default" w:ascii="Times New Roman" w:hAnsi="Times New Roman" w:cs="Times New Roman"/>
        </w:rPr>
        <w:fldChar w:fldCharType="separate"/>
      </w:r>
      <w:r>
        <w:rPr>
          <w:rStyle w:val="52"/>
          <w:rFonts w:hint="default" w:ascii="Times New Roman" w:hAnsi="Times New Roman" w:cs="Times New Roman"/>
        </w:rPr>
        <w:t>2 规范性引用文件</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_Toc163465888 \h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rFonts w:hint="default" w:ascii="Times New Roman" w:hAnsi="Times New Roman" w:cs="Times New Roman"/>
        </w:rPr>
        <w:fldChar w:fldCharType="end"/>
      </w:r>
    </w:p>
    <w:p>
      <w:pPr>
        <w:pStyle w:val="40"/>
        <w:rPr>
          <w:rFonts w:hint="default" w:ascii="Times New Roman" w:hAnsi="Times New Roman" w:cs="Times New Roman" w:eastAsiaTheme="minorEastAsia"/>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"_Toc163465889" </w:instrText>
      </w:r>
      <w:r>
        <w:rPr>
          <w:rFonts w:hint="default" w:ascii="Times New Roman" w:hAnsi="Times New Roman" w:cs="Times New Roman"/>
        </w:rPr>
        <w:fldChar w:fldCharType="separate"/>
      </w:r>
      <w:r>
        <w:rPr>
          <w:rStyle w:val="52"/>
          <w:rFonts w:hint="default" w:ascii="Times New Roman" w:hAnsi="Times New Roman" w:cs="Times New Roman"/>
        </w:rPr>
        <w:t>3 术语和定义</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_Toc163465889 \h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rFonts w:hint="default" w:ascii="Times New Roman" w:hAnsi="Times New Roman" w:cs="Times New Roman"/>
        </w:rPr>
        <w:fldChar w:fldCharType="end"/>
      </w:r>
    </w:p>
    <w:p>
      <w:pPr>
        <w:pStyle w:val="40"/>
        <w:rPr>
          <w:rFonts w:hint="default" w:ascii="Times New Roman" w:hAnsi="Times New Roman" w:cs="Times New Roman" w:eastAsiaTheme="minorEastAsia"/>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"_Toc163465890" </w:instrText>
      </w:r>
      <w:r>
        <w:rPr>
          <w:rFonts w:hint="default" w:ascii="Times New Roman" w:hAnsi="Times New Roman" w:cs="Times New Roman"/>
        </w:rPr>
        <w:fldChar w:fldCharType="separate"/>
      </w:r>
      <w:r>
        <w:rPr>
          <w:rStyle w:val="52"/>
          <w:rFonts w:hint="default" w:ascii="Times New Roman" w:hAnsi="Times New Roman" w:cs="Times New Roman"/>
        </w:rPr>
        <w:t>4 基本规定</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_Toc163465890 \h </w:instrText>
      </w:r>
      <w:r>
        <w:rPr>
          <w:rFonts w:hint="default" w:ascii="Times New Roman" w:hAnsi="Times New Roman" w:cs="Times New Roman"/>
        </w:rPr>
        <w:fldChar w:fldCharType="separate"/>
      </w:r>
      <w:r>
        <w:rPr>
          <w:rFonts w:hint="default" w:ascii="Times New Roman" w:hAnsi="Times New Roman" w:cs="Times New Roman"/>
        </w:rPr>
        <w:t>2</w:t>
      </w:r>
      <w:r>
        <w:rPr>
          <w:rFonts w:hint="default" w:ascii="Times New Roman" w:hAnsi="Times New Roman" w:cs="Times New Roman"/>
        </w:rPr>
        <w:fldChar w:fldCharType="end"/>
      </w:r>
      <w:r>
        <w:rPr>
          <w:rFonts w:hint="default" w:ascii="Times New Roman" w:hAnsi="Times New Roman" w:cs="Times New Roman"/>
        </w:rPr>
        <w:fldChar w:fldCharType="end"/>
      </w:r>
    </w:p>
    <w:p>
      <w:pPr>
        <w:pStyle w:val="40"/>
        <w:rPr>
          <w:rFonts w:hint="default" w:ascii="Times New Roman" w:hAnsi="Times New Roman" w:cs="Times New Roman" w:eastAsiaTheme="minorEastAsia"/>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"_Toc163465893" </w:instrText>
      </w:r>
      <w:r>
        <w:rPr>
          <w:rFonts w:hint="default" w:ascii="Times New Roman" w:hAnsi="Times New Roman" w:cs="Times New Roman"/>
        </w:rPr>
        <w:fldChar w:fldCharType="separate"/>
      </w:r>
      <w:r>
        <w:rPr>
          <w:rStyle w:val="52"/>
          <w:rFonts w:hint="default" w:ascii="Times New Roman" w:hAnsi="Times New Roman" w:cs="Times New Roman"/>
        </w:rPr>
        <w:t>5 组织体系</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_Toc163465893 \h </w:instrText>
      </w:r>
      <w:r>
        <w:rPr>
          <w:rFonts w:hint="default" w:ascii="Times New Roman" w:hAnsi="Times New Roman" w:cs="Times New Roman"/>
        </w:rPr>
        <w:fldChar w:fldCharType="separate"/>
      </w:r>
      <w:r>
        <w:rPr>
          <w:rFonts w:hint="default" w:ascii="Times New Roman" w:hAnsi="Times New Roman" w:cs="Times New Roman"/>
        </w:rPr>
        <w:t>2</w:t>
      </w:r>
      <w:r>
        <w:rPr>
          <w:rFonts w:hint="default" w:ascii="Times New Roman" w:hAnsi="Times New Roman" w:cs="Times New Roman"/>
        </w:rPr>
        <w:fldChar w:fldCharType="end"/>
      </w:r>
      <w:r>
        <w:rPr>
          <w:rFonts w:hint="default" w:ascii="Times New Roman" w:hAnsi="Times New Roman" w:cs="Times New Roman"/>
        </w:rPr>
        <w:fldChar w:fldCharType="end"/>
      </w:r>
    </w:p>
    <w:p>
      <w:pPr>
        <w:pStyle w:val="22"/>
        <w:rPr>
          <w:rFonts w:hint="default" w:ascii="Times New Roman" w:hAnsi="Times New Roman" w:cs="Times New Roman" w:eastAsiaTheme="minorEastAsia"/>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"_Toc163465894" </w:instrText>
      </w:r>
      <w:r>
        <w:rPr>
          <w:rFonts w:hint="default" w:ascii="Times New Roman" w:hAnsi="Times New Roman" w:cs="Times New Roman"/>
        </w:rPr>
        <w:fldChar w:fldCharType="separate"/>
      </w:r>
      <w:r>
        <w:rPr>
          <w:rStyle w:val="52"/>
          <w:rFonts w:hint="default" w:ascii="Times New Roman" w:hAnsi="Times New Roman" w:cs="Times New Roman"/>
        </w:rPr>
        <w:t>5.1 组织机构</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_Toc163465894 \h </w:instrText>
      </w:r>
      <w:r>
        <w:rPr>
          <w:rFonts w:hint="default" w:ascii="Times New Roman" w:hAnsi="Times New Roman" w:cs="Times New Roman"/>
        </w:rPr>
        <w:fldChar w:fldCharType="separate"/>
      </w:r>
      <w:r>
        <w:rPr>
          <w:rFonts w:hint="default" w:ascii="Times New Roman" w:hAnsi="Times New Roman" w:cs="Times New Roman"/>
        </w:rPr>
        <w:t>2</w:t>
      </w:r>
      <w:r>
        <w:rPr>
          <w:rFonts w:hint="default" w:ascii="Times New Roman" w:hAnsi="Times New Roman" w:cs="Times New Roman"/>
        </w:rPr>
        <w:fldChar w:fldCharType="end"/>
      </w:r>
      <w:r>
        <w:rPr>
          <w:rFonts w:hint="default" w:ascii="Times New Roman" w:hAnsi="Times New Roman" w:cs="Times New Roman"/>
        </w:rPr>
        <w:fldChar w:fldCharType="end"/>
      </w:r>
      <w:bookmarkStart w:id="421" w:name="_GoBack"/>
      <w:bookmarkEnd w:id="421"/>
    </w:p>
    <w:p>
      <w:pPr>
        <w:pStyle w:val="22"/>
        <w:rPr>
          <w:rFonts w:hint="default" w:ascii="Times New Roman" w:hAnsi="Times New Roman" w:cs="Times New Roman" w:eastAsiaTheme="minorEastAsia"/>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"_Toc163465895" </w:instrText>
      </w:r>
      <w:r>
        <w:rPr>
          <w:rFonts w:hint="default" w:ascii="Times New Roman" w:hAnsi="Times New Roman" w:cs="Times New Roman"/>
        </w:rPr>
        <w:fldChar w:fldCharType="separate"/>
      </w:r>
      <w:r>
        <w:rPr>
          <w:rStyle w:val="52"/>
          <w:rFonts w:hint="default" w:ascii="Times New Roman" w:hAnsi="Times New Roman" w:cs="Times New Roman"/>
        </w:rPr>
        <w:t>5.2 岗位及人员</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_Toc163465895 \h </w:instrText>
      </w:r>
      <w:r>
        <w:rPr>
          <w:rFonts w:hint="default" w:ascii="Times New Roman" w:hAnsi="Times New Roman" w:cs="Times New Roman"/>
        </w:rPr>
        <w:fldChar w:fldCharType="separate"/>
      </w:r>
      <w:r>
        <w:rPr>
          <w:rFonts w:hint="default" w:ascii="Times New Roman" w:hAnsi="Times New Roman" w:cs="Times New Roman"/>
        </w:rPr>
        <w:t>2</w:t>
      </w:r>
      <w:r>
        <w:rPr>
          <w:rFonts w:hint="default" w:ascii="Times New Roman" w:hAnsi="Times New Roman" w:cs="Times New Roman"/>
        </w:rPr>
        <w:fldChar w:fldCharType="end"/>
      </w:r>
      <w:r>
        <w:rPr>
          <w:rFonts w:hint="default" w:ascii="Times New Roman" w:hAnsi="Times New Roman" w:cs="Times New Roman"/>
        </w:rPr>
        <w:fldChar w:fldCharType="end"/>
      </w:r>
    </w:p>
    <w:p>
      <w:pPr>
        <w:pStyle w:val="22"/>
        <w:rPr>
          <w:rFonts w:hint="default" w:ascii="Times New Roman" w:hAnsi="Times New Roman" w:cs="Times New Roman" w:eastAsiaTheme="minorEastAsia"/>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"_Toc163465896" </w:instrText>
      </w:r>
      <w:r>
        <w:rPr>
          <w:rFonts w:hint="default" w:ascii="Times New Roman" w:hAnsi="Times New Roman" w:cs="Times New Roman"/>
        </w:rPr>
        <w:fldChar w:fldCharType="separate"/>
      </w:r>
      <w:r>
        <w:rPr>
          <w:rStyle w:val="52"/>
          <w:rFonts w:hint="default" w:ascii="Times New Roman" w:hAnsi="Times New Roman" w:cs="Times New Roman"/>
        </w:rPr>
        <w:t>5.3 管理制度</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_Toc163465896 \h </w:instrText>
      </w:r>
      <w:r>
        <w:rPr>
          <w:rFonts w:hint="default" w:ascii="Times New Roman" w:hAnsi="Times New Roman" w:cs="Times New Roman"/>
        </w:rPr>
        <w:fldChar w:fldCharType="separate"/>
      </w:r>
      <w:r>
        <w:rPr>
          <w:rFonts w:hint="default" w:ascii="Times New Roman" w:hAnsi="Times New Roman" w:cs="Times New Roman"/>
        </w:rPr>
        <w:t>2</w:t>
      </w:r>
      <w:r>
        <w:rPr>
          <w:rFonts w:hint="default" w:ascii="Times New Roman" w:hAnsi="Times New Roman" w:cs="Times New Roman"/>
        </w:rPr>
        <w:fldChar w:fldCharType="end"/>
      </w:r>
      <w:r>
        <w:rPr>
          <w:rFonts w:hint="default" w:ascii="Times New Roman" w:hAnsi="Times New Roman" w:cs="Times New Roman"/>
        </w:rPr>
        <w:fldChar w:fldCharType="end"/>
      </w:r>
    </w:p>
    <w:p>
      <w:pPr>
        <w:pStyle w:val="40"/>
        <w:rPr>
          <w:rFonts w:hint="default" w:ascii="Times New Roman" w:hAnsi="Times New Roman" w:cs="Times New Roman" w:eastAsiaTheme="minorEastAsia"/>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"_Toc163465897" </w:instrText>
      </w:r>
      <w:r>
        <w:rPr>
          <w:rFonts w:hint="default" w:ascii="Times New Roman" w:hAnsi="Times New Roman" w:cs="Times New Roman"/>
        </w:rPr>
        <w:fldChar w:fldCharType="separate"/>
      </w:r>
      <w:r>
        <w:rPr>
          <w:rStyle w:val="52"/>
          <w:rFonts w:hint="default" w:ascii="Times New Roman" w:hAnsi="Times New Roman" w:cs="Times New Roman"/>
        </w:rPr>
        <w:t>6 检查监测</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_Toc163465897 \h </w:instrText>
      </w:r>
      <w:r>
        <w:rPr>
          <w:rFonts w:hint="default" w:ascii="Times New Roman" w:hAnsi="Times New Roman" w:cs="Times New Roman"/>
        </w:rPr>
        <w:fldChar w:fldCharType="separate"/>
      </w:r>
      <w:r>
        <w:rPr>
          <w:rFonts w:hint="default" w:ascii="Times New Roman" w:hAnsi="Times New Roman" w:cs="Times New Roman"/>
        </w:rPr>
        <w:t>3</w:t>
      </w:r>
      <w:r>
        <w:rPr>
          <w:rFonts w:hint="default" w:ascii="Times New Roman" w:hAnsi="Times New Roman" w:cs="Times New Roman"/>
        </w:rPr>
        <w:fldChar w:fldCharType="end"/>
      </w:r>
      <w:r>
        <w:rPr>
          <w:rFonts w:hint="default" w:ascii="Times New Roman" w:hAnsi="Times New Roman" w:cs="Times New Roman"/>
        </w:rPr>
        <w:fldChar w:fldCharType="end"/>
      </w:r>
    </w:p>
    <w:p>
      <w:pPr>
        <w:pStyle w:val="22"/>
        <w:rPr>
          <w:rFonts w:hint="default" w:ascii="Times New Roman" w:hAnsi="Times New Roman" w:cs="Times New Roman" w:eastAsiaTheme="minorEastAsia"/>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"_Toc163465898" </w:instrText>
      </w:r>
      <w:r>
        <w:rPr>
          <w:rFonts w:hint="default" w:ascii="Times New Roman" w:hAnsi="Times New Roman" w:cs="Times New Roman"/>
        </w:rPr>
        <w:fldChar w:fldCharType="separate"/>
      </w:r>
      <w:r>
        <w:rPr>
          <w:rStyle w:val="52"/>
          <w:rFonts w:hint="default" w:ascii="Times New Roman" w:hAnsi="Times New Roman" w:cs="Times New Roman"/>
        </w:rPr>
        <w:t>6.1 工程检查</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_Toc163465898 \h </w:instrText>
      </w:r>
      <w:r>
        <w:rPr>
          <w:rFonts w:hint="default" w:ascii="Times New Roman" w:hAnsi="Times New Roman" w:cs="Times New Roman"/>
        </w:rPr>
        <w:fldChar w:fldCharType="separate"/>
      </w:r>
      <w:r>
        <w:rPr>
          <w:rFonts w:hint="default" w:ascii="Times New Roman" w:hAnsi="Times New Roman" w:cs="Times New Roman"/>
        </w:rPr>
        <w:t>3</w:t>
      </w:r>
      <w:r>
        <w:rPr>
          <w:rFonts w:hint="default" w:ascii="Times New Roman" w:hAnsi="Times New Roman" w:cs="Times New Roman"/>
        </w:rPr>
        <w:fldChar w:fldCharType="end"/>
      </w:r>
      <w:r>
        <w:rPr>
          <w:rFonts w:hint="default" w:ascii="Times New Roman" w:hAnsi="Times New Roman" w:cs="Times New Roman"/>
        </w:rPr>
        <w:fldChar w:fldCharType="end"/>
      </w:r>
    </w:p>
    <w:p>
      <w:pPr>
        <w:pStyle w:val="22"/>
        <w:rPr>
          <w:rFonts w:hint="default" w:ascii="Times New Roman" w:hAnsi="Times New Roman" w:cs="Times New Roman" w:eastAsiaTheme="minorEastAsia"/>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"_Toc163465899" </w:instrText>
      </w:r>
      <w:r>
        <w:rPr>
          <w:rFonts w:hint="default" w:ascii="Times New Roman" w:hAnsi="Times New Roman" w:cs="Times New Roman"/>
        </w:rPr>
        <w:fldChar w:fldCharType="separate"/>
      </w:r>
      <w:r>
        <w:rPr>
          <w:rStyle w:val="52"/>
          <w:rFonts w:hint="default" w:ascii="Times New Roman" w:hAnsi="Times New Roman" w:cs="Times New Roman"/>
        </w:rPr>
        <w:t>6.2 安全监测</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_Toc163465899 \h </w:instrText>
      </w:r>
      <w:r>
        <w:rPr>
          <w:rFonts w:hint="default" w:ascii="Times New Roman" w:hAnsi="Times New Roman" w:cs="Times New Roman"/>
        </w:rPr>
        <w:fldChar w:fldCharType="separate"/>
      </w:r>
      <w:r>
        <w:rPr>
          <w:rFonts w:hint="default" w:ascii="Times New Roman" w:hAnsi="Times New Roman" w:cs="Times New Roman"/>
        </w:rPr>
        <w:t>5</w:t>
      </w:r>
      <w:r>
        <w:rPr>
          <w:rFonts w:hint="default" w:ascii="Times New Roman" w:hAnsi="Times New Roman" w:cs="Times New Roman"/>
        </w:rPr>
        <w:fldChar w:fldCharType="end"/>
      </w:r>
      <w:r>
        <w:rPr>
          <w:rFonts w:hint="default" w:ascii="Times New Roman" w:hAnsi="Times New Roman" w:cs="Times New Roman"/>
        </w:rPr>
        <w:fldChar w:fldCharType="end"/>
      </w:r>
    </w:p>
    <w:p>
      <w:pPr>
        <w:pStyle w:val="22"/>
        <w:rPr>
          <w:rFonts w:hint="default" w:ascii="Times New Roman" w:hAnsi="Times New Roman" w:cs="Times New Roman" w:eastAsiaTheme="minorEastAsia"/>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"_Toc163465900" </w:instrText>
      </w:r>
      <w:r>
        <w:rPr>
          <w:rFonts w:hint="default" w:ascii="Times New Roman" w:hAnsi="Times New Roman" w:cs="Times New Roman"/>
        </w:rPr>
        <w:fldChar w:fldCharType="separate"/>
      </w:r>
      <w:r>
        <w:rPr>
          <w:rStyle w:val="52"/>
          <w:rFonts w:hint="default" w:ascii="Times New Roman" w:hAnsi="Times New Roman" w:cs="Times New Roman"/>
        </w:rPr>
        <w:t>6.3 白蚁危害检查</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_Toc163465900 \h </w:instrText>
      </w:r>
      <w:r>
        <w:rPr>
          <w:rFonts w:hint="default" w:ascii="Times New Roman" w:hAnsi="Times New Roman" w:cs="Times New Roman"/>
        </w:rPr>
        <w:fldChar w:fldCharType="separate"/>
      </w:r>
      <w:r>
        <w:rPr>
          <w:rFonts w:hint="default" w:ascii="Times New Roman" w:hAnsi="Times New Roman" w:cs="Times New Roman"/>
        </w:rPr>
        <w:t>5</w:t>
      </w:r>
      <w:r>
        <w:rPr>
          <w:rFonts w:hint="default" w:ascii="Times New Roman" w:hAnsi="Times New Roman" w:cs="Times New Roman"/>
        </w:rPr>
        <w:fldChar w:fldCharType="end"/>
      </w:r>
      <w:r>
        <w:rPr>
          <w:rFonts w:hint="default" w:ascii="Times New Roman" w:hAnsi="Times New Roman" w:cs="Times New Roman"/>
        </w:rPr>
        <w:fldChar w:fldCharType="end"/>
      </w:r>
    </w:p>
    <w:p>
      <w:pPr>
        <w:pStyle w:val="40"/>
        <w:rPr>
          <w:rFonts w:hint="default" w:ascii="Times New Roman" w:hAnsi="Times New Roman" w:cs="Times New Roman" w:eastAsiaTheme="minorEastAsia"/>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"_Toc163465901" </w:instrText>
      </w:r>
      <w:r>
        <w:rPr>
          <w:rFonts w:hint="default" w:ascii="Times New Roman" w:hAnsi="Times New Roman" w:cs="Times New Roman"/>
        </w:rPr>
        <w:fldChar w:fldCharType="separate"/>
      </w:r>
      <w:r>
        <w:rPr>
          <w:rStyle w:val="52"/>
          <w:rFonts w:hint="default" w:ascii="Times New Roman" w:hAnsi="Times New Roman" w:cs="Times New Roman"/>
        </w:rPr>
        <w:t>7 维修养护</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_Toc163465901 \h </w:instrText>
      </w:r>
      <w:r>
        <w:rPr>
          <w:rFonts w:hint="default" w:ascii="Times New Roman" w:hAnsi="Times New Roman" w:cs="Times New Roman"/>
        </w:rPr>
        <w:fldChar w:fldCharType="separate"/>
      </w:r>
      <w:r>
        <w:rPr>
          <w:rFonts w:hint="default" w:ascii="Times New Roman" w:hAnsi="Times New Roman" w:cs="Times New Roman"/>
        </w:rPr>
        <w:t>6</w:t>
      </w:r>
      <w:r>
        <w:rPr>
          <w:rFonts w:hint="default" w:ascii="Times New Roman" w:hAnsi="Times New Roman" w:cs="Times New Roman"/>
        </w:rPr>
        <w:fldChar w:fldCharType="end"/>
      </w:r>
      <w:r>
        <w:rPr>
          <w:rFonts w:hint="default" w:ascii="Times New Roman" w:hAnsi="Times New Roman" w:cs="Times New Roman"/>
        </w:rPr>
        <w:fldChar w:fldCharType="end"/>
      </w:r>
    </w:p>
    <w:p>
      <w:pPr>
        <w:pStyle w:val="22"/>
        <w:rPr>
          <w:rFonts w:hint="default" w:ascii="Times New Roman" w:hAnsi="Times New Roman" w:cs="Times New Roman" w:eastAsiaTheme="minorEastAsia"/>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"_Toc163465902" </w:instrText>
      </w:r>
      <w:r>
        <w:rPr>
          <w:rFonts w:hint="default" w:ascii="Times New Roman" w:hAnsi="Times New Roman" w:cs="Times New Roman"/>
        </w:rPr>
        <w:fldChar w:fldCharType="separate"/>
      </w:r>
      <w:r>
        <w:rPr>
          <w:rStyle w:val="52"/>
          <w:rFonts w:hint="default" w:ascii="Times New Roman" w:hAnsi="Times New Roman" w:cs="Times New Roman"/>
        </w:rPr>
        <w:t>7.1 一般规定</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_Toc163465902 \h </w:instrText>
      </w:r>
      <w:r>
        <w:rPr>
          <w:rFonts w:hint="default" w:ascii="Times New Roman" w:hAnsi="Times New Roman" w:cs="Times New Roman"/>
        </w:rPr>
        <w:fldChar w:fldCharType="separate"/>
      </w:r>
      <w:r>
        <w:rPr>
          <w:rFonts w:hint="default" w:ascii="Times New Roman" w:hAnsi="Times New Roman" w:cs="Times New Roman"/>
        </w:rPr>
        <w:t>6</w:t>
      </w:r>
      <w:r>
        <w:rPr>
          <w:rFonts w:hint="default" w:ascii="Times New Roman" w:hAnsi="Times New Roman" w:cs="Times New Roman"/>
        </w:rPr>
        <w:fldChar w:fldCharType="end"/>
      </w:r>
      <w:r>
        <w:rPr>
          <w:rFonts w:hint="default" w:ascii="Times New Roman" w:hAnsi="Times New Roman" w:cs="Times New Roman"/>
        </w:rPr>
        <w:fldChar w:fldCharType="end"/>
      </w:r>
    </w:p>
    <w:p>
      <w:pPr>
        <w:pStyle w:val="22"/>
        <w:rPr>
          <w:rFonts w:hint="default" w:ascii="Times New Roman" w:hAnsi="Times New Roman" w:cs="Times New Roman" w:eastAsiaTheme="minorEastAsia"/>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"_Toc163465903" </w:instrText>
      </w:r>
      <w:r>
        <w:rPr>
          <w:rFonts w:hint="default" w:ascii="Times New Roman" w:hAnsi="Times New Roman" w:cs="Times New Roman"/>
        </w:rPr>
        <w:fldChar w:fldCharType="separate"/>
      </w:r>
      <w:r>
        <w:rPr>
          <w:rStyle w:val="52"/>
          <w:rFonts w:hint="default" w:ascii="Times New Roman" w:hAnsi="Times New Roman" w:cs="Times New Roman"/>
        </w:rPr>
        <w:t>7.2 维修养护要求</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_Toc163465903 \h </w:instrText>
      </w:r>
      <w:r>
        <w:rPr>
          <w:rFonts w:hint="default" w:ascii="Times New Roman" w:hAnsi="Times New Roman" w:cs="Times New Roman"/>
        </w:rPr>
        <w:fldChar w:fldCharType="separate"/>
      </w:r>
      <w:r>
        <w:rPr>
          <w:rFonts w:hint="default" w:ascii="Times New Roman" w:hAnsi="Times New Roman" w:cs="Times New Roman"/>
        </w:rPr>
        <w:t>7</w:t>
      </w:r>
      <w:r>
        <w:rPr>
          <w:rFonts w:hint="default" w:ascii="Times New Roman" w:hAnsi="Times New Roman" w:cs="Times New Roman"/>
        </w:rPr>
        <w:fldChar w:fldCharType="end"/>
      </w:r>
      <w:r>
        <w:rPr>
          <w:rFonts w:hint="default" w:ascii="Times New Roman" w:hAnsi="Times New Roman" w:cs="Times New Roman"/>
        </w:rPr>
        <w:fldChar w:fldCharType="end"/>
      </w:r>
    </w:p>
    <w:p>
      <w:pPr>
        <w:pStyle w:val="22"/>
        <w:rPr>
          <w:rFonts w:hint="default" w:ascii="Times New Roman" w:hAnsi="Times New Roman" w:cs="Times New Roman" w:eastAsiaTheme="minorEastAsia"/>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"_Toc163465904" </w:instrText>
      </w:r>
      <w:r>
        <w:rPr>
          <w:rFonts w:hint="default" w:ascii="Times New Roman" w:hAnsi="Times New Roman" w:cs="Times New Roman"/>
        </w:rPr>
        <w:fldChar w:fldCharType="separate"/>
      </w:r>
      <w:r>
        <w:rPr>
          <w:rStyle w:val="52"/>
          <w:rFonts w:hint="default" w:ascii="Times New Roman" w:hAnsi="Times New Roman" w:cs="Times New Roman"/>
        </w:rPr>
        <w:t>7.3 维修养护记录</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_Toc163465904 \h </w:instrText>
      </w:r>
      <w:r>
        <w:rPr>
          <w:rFonts w:hint="default" w:ascii="Times New Roman" w:hAnsi="Times New Roman" w:cs="Times New Roman"/>
        </w:rPr>
        <w:fldChar w:fldCharType="separate"/>
      </w:r>
      <w:r>
        <w:rPr>
          <w:rFonts w:hint="default" w:ascii="Times New Roman" w:hAnsi="Times New Roman" w:cs="Times New Roman"/>
        </w:rPr>
        <w:t>7</w:t>
      </w:r>
      <w:r>
        <w:rPr>
          <w:rFonts w:hint="default" w:ascii="Times New Roman" w:hAnsi="Times New Roman" w:cs="Times New Roman"/>
        </w:rPr>
        <w:fldChar w:fldCharType="end"/>
      </w:r>
      <w:r>
        <w:rPr>
          <w:rFonts w:hint="default" w:ascii="Times New Roman" w:hAnsi="Times New Roman" w:cs="Times New Roman"/>
        </w:rPr>
        <w:fldChar w:fldCharType="end"/>
      </w:r>
    </w:p>
    <w:p>
      <w:pPr>
        <w:pStyle w:val="40"/>
        <w:rPr>
          <w:rFonts w:hint="default" w:ascii="Times New Roman" w:hAnsi="Times New Roman" w:cs="Times New Roman" w:eastAsiaTheme="minorEastAsia"/>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"_Toc163465905" </w:instrText>
      </w:r>
      <w:r>
        <w:rPr>
          <w:rFonts w:hint="default" w:ascii="Times New Roman" w:hAnsi="Times New Roman" w:cs="Times New Roman"/>
        </w:rPr>
        <w:fldChar w:fldCharType="separate"/>
      </w:r>
      <w:r>
        <w:rPr>
          <w:rStyle w:val="52"/>
          <w:rFonts w:hint="default" w:ascii="Times New Roman" w:hAnsi="Times New Roman" w:cs="Times New Roman"/>
        </w:rPr>
        <w:t>8 泄（放）水操作</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_Toc163465905 \h </w:instrText>
      </w:r>
      <w:r>
        <w:rPr>
          <w:rFonts w:hint="default" w:ascii="Times New Roman" w:hAnsi="Times New Roman" w:cs="Times New Roman"/>
        </w:rPr>
        <w:fldChar w:fldCharType="separate"/>
      </w:r>
      <w:r>
        <w:rPr>
          <w:rFonts w:hint="default" w:ascii="Times New Roman" w:hAnsi="Times New Roman" w:cs="Times New Roman"/>
        </w:rPr>
        <w:t>7</w:t>
      </w:r>
      <w:r>
        <w:rPr>
          <w:rFonts w:hint="default" w:ascii="Times New Roman" w:hAnsi="Times New Roman" w:cs="Times New Roman"/>
        </w:rPr>
        <w:fldChar w:fldCharType="end"/>
      </w:r>
      <w:r>
        <w:rPr>
          <w:rFonts w:hint="default" w:ascii="Times New Roman" w:hAnsi="Times New Roman" w:cs="Times New Roman"/>
        </w:rPr>
        <w:fldChar w:fldCharType="end"/>
      </w:r>
    </w:p>
    <w:p>
      <w:pPr>
        <w:pStyle w:val="40"/>
        <w:rPr>
          <w:rFonts w:hint="default" w:ascii="Times New Roman" w:hAnsi="Times New Roman" w:cs="Times New Roman" w:eastAsiaTheme="minorEastAsia"/>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"_Toc163465913" </w:instrText>
      </w:r>
      <w:r>
        <w:rPr>
          <w:rFonts w:hint="default" w:ascii="Times New Roman" w:hAnsi="Times New Roman" w:cs="Times New Roman"/>
        </w:rPr>
        <w:fldChar w:fldCharType="separate"/>
      </w:r>
      <w:r>
        <w:rPr>
          <w:rStyle w:val="52"/>
          <w:rFonts w:hint="default" w:ascii="Times New Roman" w:hAnsi="Times New Roman" w:cs="Times New Roman"/>
        </w:rPr>
        <w:t>9 应急服务</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_Toc163465913 \h </w:instrText>
      </w:r>
      <w:r>
        <w:rPr>
          <w:rFonts w:hint="default" w:ascii="Times New Roman" w:hAnsi="Times New Roman" w:cs="Times New Roman"/>
        </w:rPr>
        <w:fldChar w:fldCharType="separate"/>
      </w:r>
      <w:r>
        <w:rPr>
          <w:rFonts w:hint="default" w:ascii="Times New Roman" w:hAnsi="Times New Roman" w:cs="Times New Roman"/>
        </w:rPr>
        <w:t>8</w:t>
      </w:r>
      <w:r>
        <w:rPr>
          <w:rFonts w:hint="default" w:ascii="Times New Roman" w:hAnsi="Times New Roman" w:cs="Times New Roman"/>
        </w:rPr>
        <w:fldChar w:fldCharType="end"/>
      </w:r>
      <w:r>
        <w:rPr>
          <w:rFonts w:hint="default" w:ascii="Times New Roman" w:hAnsi="Times New Roman" w:cs="Times New Roman"/>
        </w:rPr>
        <w:fldChar w:fldCharType="end"/>
      </w:r>
    </w:p>
    <w:p>
      <w:pPr>
        <w:pStyle w:val="40"/>
        <w:rPr>
          <w:rFonts w:hint="default" w:ascii="Times New Roman" w:hAnsi="Times New Roman" w:cs="Times New Roman" w:eastAsiaTheme="minorEastAsia"/>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"_Toc163465917" </w:instrText>
      </w:r>
      <w:r>
        <w:rPr>
          <w:rFonts w:hint="default" w:ascii="Times New Roman" w:hAnsi="Times New Roman" w:cs="Times New Roman"/>
        </w:rPr>
        <w:fldChar w:fldCharType="separate"/>
      </w:r>
      <w:r>
        <w:rPr>
          <w:rStyle w:val="52"/>
          <w:rFonts w:hint="default" w:ascii="Times New Roman" w:hAnsi="Times New Roman" w:cs="Times New Roman"/>
        </w:rPr>
        <w:t>10 档案管理</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_Toc163465917 \h </w:instrText>
      </w:r>
      <w:r>
        <w:rPr>
          <w:rFonts w:hint="default" w:ascii="Times New Roman" w:hAnsi="Times New Roman" w:cs="Times New Roman"/>
        </w:rPr>
        <w:fldChar w:fldCharType="separate"/>
      </w:r>
      <w:r>
        <w:rPr>
          <w:rFonts w:hint="default" w:ascii="Times New Roman" w:hAnsi="Times New Roman" w:cs="Times New Roman"/>
        </w:rPr>
        <w:t>8</w:t>
      </w:r>
      <w:r>
        <w:rPr>
          <w:rFonts w:hint="default" w:ascii="Times New Roman" w:hAnsi="Times New Roman" w:cs="Times New Roman"/>
        </w:rPr>
        <w:fldChar w:fldCharType="end"/>
      </w:r>
      <w:r>
        <w:rPr>
          <w:rFonts w:hint="default" w:ascii="Times New Roman" w:hAnsi="Times New Roman" w:cs="Times New Roman"/>
        </w:rPr>
        <w:fldChar w:fldCharType="end"/>
      </w:r>
    </w:p>
    <w:p>
      <w:pPr>
        <w:pStyle w:val="40"/>
        <w:rPr>
          <w:rFonts w:hint="default" w:ascii="Times New Roman" w:hAnsi="Times New Roman" w:cs="Times New Roman" w:eastAsiaTheme="minorEastAsia"/>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"_Toc163465922" </w:instrText>
      </w:r>
      <w:r>
        <w:rPr>
          <w:rFonts w:hint="default" w:ascii="Times New Roman" w:hAnsi="Times New Roman" w:cs="Times New Roman"/>
        </w:rPr>
        <w:fldChar w:fldCharType="separate"/>
      </w:r>
      <w:r>
        <w:rPr>
          <w:rStyle w:val="52"/>
          <w:rFonts w:hint="default" w:ascii="Times New Roman" w:hAnsi="Times New Roman" w:cs="Times New Roman"/>
        </w:rPr>
        <w:t>11 数字化服务</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_Toc163465922 \h </w:instrText>
      </w:r>
      <w:r>
        <w:rPr>
          <w:rFonts w:hint="default" w:ascii="Times New Roman" w:hAnsi="Times New Roman" w:cs="Times New Roman"/>
        </w:rPr>
        <w:fldChar w:fldCharType="separate"/>
      </w:r>
      <w:r>
        <w:rPr>
          <w:rFonts w:hint="default" w:ascii="Times New Roman" w:hAnsi="Times New Roman" w:cs="Times New Roman"/>
        </w:rPr>
        <w:t>8</w:t>
      </w:r>
      <w:r>
        <w:rPr>
          <w:rFonts w:hint="default" w:ascii="Times New Roman" w:hAnsi="Times New Roman" w:cs="Times New Roman"/>
        </w:rPr>
        <w:fldChar w:fldCharType="end"/>
      </w:r>
      <w:r>
        <w:rPr>
          <w:rFonts w:hint="default" w:ascii="Times New Roman" w:hAnsi="Times New Roman" w:cs="Times New Roman"/>
        </w:rPr>
        <w:fldChar w:fldCharType="end"/>
      </w:r>
    </w:p>
    <w:p>
      <w:pPr>
        <w:pStyle w:val="30"/>
        <w:spacing w:before="78" w:after="78"/>
        <w:rPr>
          <w:rFonts w:hint="default" w:ascii="Times New Roman" w:hAnsi="Times New Roman" w:cs="Times New Roman" w:eastAsiaTheme="minorEastAsia"/>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"_Toc163465927" </w:instrText>
      </w:r>
      <w:r>
        <w:rPr>
          <w:rFonts w:hint="default" w:ascii="Times New Roman" w:hAnsi="Times New Roman" w:cs="Times New Roman"/>
        </w:rPr>
        <w:fldChar w:fldCharType="separate"/>
      </w:r>
      <w:r>
        <w:rPr>
          <w:rStyle w:val="52"/>
          <w:rFonts w:hint="default" w:ascii="Times New Roman" w:hAnsi="Times New Roman" w:cs="Times New Roman"/>
        </w:rPr>
        <w:t>附录A （规范性附录） 岗位设置</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_Toc163465927 \h </w:instrText>
      </w:r>
      <w:r>
        <w:rPr>
          <w:rFonts w:hint="default" w:ascii="Times New Roman" w:hAnsi="Times New Roman" w:cs="Times New Roman"/>
        </w:rPr>
        <w:fldChar w:fldCharType="separate"/>
      </w:r>
      <w:r>
        <w:rPr>
          <w:rFonts w:hint="default" w:ascii="Times New Roman" w:hAnsi="Times New Roman" w:cs="Times New Roman"/>
        </w:rPr>
        <w:t>9</w:t>
      </w:r>
      <w:r>
        <w:rPr>
          <w:rFonts w:hint="default" w:ascii="Times New Roman" w:hAnsi="Times New Roman" w:cs="Times New Roman"/>
        </w:rPr>
        <w:fldChar w:fldCharType="end"/>
      </w:r>
      <w:r>
        <w:rPr>
          <w:rFonts w:hint="default" w:ascii="Times New Roman" w:hAnsi="Times New Roman" w:cs="Times New Roman"/>
        </w:rPr>
        <w:fldChar w:fldCharType="end"/>
      </w:r>
    </w:p>
    <w:p>
      <w:pPr>
        <w:pStyle w:val="30"/>
        <w:spacing w:before="78" w:after="78"/>
        <w:rPr>
          <w:rFonts w:hint="default" w:ascii="Times New Roman" w:hAnsi="Times New Roman" w:cs="Times New Roman" w:eastAsiaTheme="minorEastAsia"/>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"_Toc163465929" </w:instrText>
      </w:r>
      <w:r>
        <w:rPr>
          <w:rFonts w:hint="default" w:ascii="Times New Roman" w:hAnsi="Times New Roman" w:cs="Times New Roman"/>
        </w:rPr>
        <w:fldChar w:fldCharType="separate"/>
      </w:r>
      <w:r>
        <w:rPr>
          <w:rStyle w:val="52"/>
          <w:rFonts w:hint="default" w:ascii="Times New Roman" w:hAnsi="Times New Roman" w:cs="Times New Roman"/>
        </w:rPr>
        <w:t>附录B （规范性附录） 日常巡查频次</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_Toc163465929 \h </w:instrText>
      </w:r>
      <w:r>
        <w:rPr>
          <w:rFonts w:hint="default" w:ascii="Times New Roman" w:hAnsi="Times New Roman" w:cs="Times New Roman"/>
        </w:rPr>
        <w:fldChar w:fldCharType="separate"/>
      </w:r>
      <w:r>
        <w:rPr>
          <w:rFonts w:hint="default" w:ascii="Times New Roman" w:hAnsi="Times New Roman" w:cs="Times New Roman"/>
        </w:rPr>
        <w:t>10</w:t>
      </w:r>
      <w:r>
        <w:rPr>
          <w:rFonts w:hint="default" w:ascii="Times New Roman" w:hAnsi="Times New Roman" w:cs="Times New Roman"/>
        </w:rPr>
        <w:fldChar w:fldCharType="end"/>
      </w:r>
      <w:r>
        <w:rPr>
          <w:rFonts w:hint="default" w:ascii="Times New Roman" w:hAnsi="Times New Roman" w:cs="Times New Roman"/>
        </w:rPr>
        <w:fldChar w:fldCharType="end"/>
      </w:r>
    </w:p>
    <w:p>
      <w:pPr>
        <w:pStyle w:val="30"/>
        <w:spacing w:before="78" w:after="78"/>
        <w:rPr>
          <w:rFonts w:hint="default" w:ascii="Times New Roman" w:hAnsi="Times New Roman" w:cs="Times New Roman" w:eastAsiaTheme="minorEastAsia"/>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"_Toc163465931" </w:instrText>
      </w:r>
      <w:r>
        <w:rPr>
          <w:rFonts w:hint="default" w:ascii="Times New Roman" w:hAnsi="Times New Roman" w:cs="Times New Roman"/>
        </w:rPr>
        <w:fldChar w:fldCharType="separate"/>
      </w:r>
      <w:r>
        <w:rPr>
          <w:rStyle w:val="52"/>
          <w:rFonts w:hint="default" w:ascii="Times New Roman" w:hAnsi="Times New Roman" w:cs="Times New Roman"/>
        </w:rPr>
        <w:t>附录C （资料性附录） 检查内容表</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_Toc163465931 \h </w:instrText>
      </w:r>
      <w:r>
        <w:rPr>
          <w:rFonts w:hint="default" w:ascii="Times New Roman" w:hAnsi="Times New Roman" w:cs="Times New Roman"/>
        </w:rPr>
        <w:fldChar w:fldCharType="separate"/>
      </w:r>
      <w:r>
        <w:rPr>
          <w:rFonts w:hint="default" w:ascii="Times New Roman" w:hAnsi="Times New Roman" w:cs="Times New Roman"/>
        </w:rPr>
        <w:t>11</w:t>
      </w:r>
      <w:r>
        <w:rPr>
          <w:rFonts w:hint="default" w:ascii="Times New Roman" w:hAnsi="Times New Roman" w:cs="Times New Roman"/>
        </w:rPr>
        <w:fldChar w:fldCharType="end"/>
      </w:r>
      <w:r>
        <w:rPr>
          <w:rFonts w:hint="default" w:ascii="Times New Roman" w:hAnsi="Times New Roman" w:cs="Times New Roman"/>
        </w:rPr>
        <w:fldChar w:fldCharType="end"/>
      </w:r>
    </w:p>
    <w:p>
      <w:pPr>
        <w:pStyle w:val="30"/>
        <w:spacing w:before="78" w:after="78"/>
        <w:rPr>
          <w:rFonts w:hint="default" w:ascii="Times New Roman" w:hAnsi="Times New Roman" w:cs="Times New Roman" w:eastAsiaTheme="minorEastAsia"/>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"_Toc163465938" </w:instrText>
      </w:r>
      <w:r>
        <w:rPr>
          <w:rFonts w:hint="default" w:ascii="Times New Roman" w:hAnsi="Times New Roman" w:cs="Times New Roman"/>
        </w:rPr>
        <w:fldChar w:fldCharType="separate"/>
      </w:r>
      <w:r>
        <w:rPr>
          <w:rStyle w:val="52"/>
          <w:rFonts w:hint="default" w:ascii="Times New Roman" w:hAnsi="Times New Roman" w:cs="Times New Roman"/>
        </w:rPr>
        <w:t>附录D （资料性附录） 日常巡查记录</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_Toc163465938 \h </w:instrText>
      </w:r>
      <w:r>
        <w:rPr>
          <w:rFonts w:hint="default" w:ascii="Times New Roman" w:hAnsi="Times New Roman" w:cs="Times New Roman"/>
        </w:rPr>
        <w:fldChar w:fldCharType="separate"/>
      </w:r>
      <w:r>
        <w:rPr>
          <w:rFonts w:hint="default" w:ascii="Times New Roman" w:hAnsi="Times New Roman" w:cs="Times New Roman"/>
        </w:rPr>
        <w:t>17</w:t>
      </w:r>
      <w:r>
        <w:rPr>
          <w:rFonts w:hint="default" w:ascii="Times New Roman" w:hAnsi="Times New Roman" w:cs="Times New Roman"/>
        </w:rPr>
        <w:fldChar w:fldCharType="end"/>
      </w:r>
      <w:r>
        <w:rPr>
          <w:rFonts w:hint="default" w:ascii="Times New Roman" w:hAnsi="Times New Roman" w:cs="Times New Roman"/>
        </w:rPr>
        <w:fldChar w:fldCharType="end"/>
      </w:r>
    </w:p>
    <w:p>
      <w:pPr>
        <w:pStyle w:val="30"/>
        <w:spacing w:before="78" w:after="78"/>
        <w:rPr>
          <w:rFonts w:hint="default" w:ascii="Times New Roman" w:hAnsi="Times New Roman" w:cs="Times New Roman" w:eastAsiaTheme="minorEastAsia"/>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"_Toc163465940" </w:instrText>
      </w:r>
      <w:r>
        <w:rPr>
          <w:rFonts w:hint="default" w:ascii="Times New Roman" w:hAnsi="Times New Roman" w:cs="Times New Roman"/>
        </w:rPr>
        <w:fldChar w:fldCharType="separate"/>
      </w:r>
      <w:r>
        <w:rPr>
          <w:rStyle w:val="52"/>
          <w:rFonts w:hint="default" w:ascii="Times New Roman" w:hAnsi="Times New Roman" w:cs="Times New Roman"/>
        </w:rPr>
        <w:t>附录E （资料性附录） 汛前、年度检查记录</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_Toc163465940 \h </w:instrText>
      </w:r>
      <w:r>
        <w:rPr>
          <w:rFonts w:hint="default" w:ascii="Times New Roman" w:hAnsi="Times New Roman" w:cs="Times New Roman"/>
        </w:rPr>
        <w:fldChar w:fldCharType="separate"/>
      </w:r>
      <w:r>
        <w:rPr>
          <w:rFonts w:hint="default" w:ascii="Times New Roman" w:hAnsi="Times New Roman" w:cs="Times New Roman"/>
        </w:rPr>
        <w:t>18</w:t>
      </w:r>
      <w:r>
        <w:rPr>
          <w:rFonts w:hint="default" w:ascii="Times New Roman" w:hAnsi="Times New Roman" w:cs="Times New Roman"/>
        </w:rPr>
        <w:fldChar w:fldCharType="end"/>
      </w:r>
      <w:r>
        <w:rPr>
          <w:rFonts w:hint="default" w:ascii="Times New Roman" w:hAnsi="Times New Roman" w:cs="Times New Roman"/>
        </w:rPr>
        <w:fldChar w:fldCharType="end"/>
      </w:r>
    </w:p>
    <w:p>
      <w:pPr>
        <w:pStyle w:val="30"/>
        <w:spacing w:before="78" w:after="78"/>
        <w:rPr>
          <w:rFonts w:hint="default" w:ascii="Times New Roman" w:hAnsi="Times New Roman" w:cs="Times New Roman" w:eastAsiaTheme="minorEastAsia"/>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"_Toc163465944" </w:instrText>
      </w:r>
      <w:r>
        <w:rPr>
          <w:rFonts w:hint="default" w:ascii="Times New Roman" w:hAnsi="Times New Roman" w:cs="Times New Roman"/>
        </w:rPr>
        <w:fldChar w:fldCharType="separate"/>
      </w:r>
      <w:r>
        <w:rPr>
          <w:rStyle w:val="52"/>
          <w:rFonts w:hint="default" w:ascii="Times New Roman" w:hAnsi="Times New Roman" w:cs="Times New Roman"/>
        </w:rPr>
        <w:t>附录F （规范性附录） 安全监测</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_Toc163465944 \h </w:instrText>
      </w:r>
      <w:r>
        <w:rPr>
          <w:rFonts w:hint="default" w:ascii="Times New Roman" w:hAnsi="Times New Roman" w:cs="Times New Roman"/>
        </w:rPr>
        <w:fldChar w:fldCharType="separate"/>
      </w:r>
      <w:r>
        <w:rPr>
          <w:rFonts w:hint="default" w:ascii="Times New Roman" w:hAnsi="Times New Roman" w:cs="Times New Roman"/>
        </w:rPr>
        <w:t>21</w:t>
      </w:r>
      <w:r>
        <w:rPr>
          <w:rFonts w:hint="default" w:ascii="Times New Roman" w:hAnsi="Times New Roman" w:cs="Times New Roman"/>
        </w:rPr>
        <w:fldChar w:fldCharType="end"/>
      </w:r>
      <w:r>
        <w:rPr>
          <w:rFonts w:hint="default" w:ascii="Times New Roman" w:hAnsi="Times New Roman" w:cs="Times New Roman"/>
        </w:rPr>
        <w:fldChar w:fldCharType="end"/>
      </w:r>
    </w:p>
    <w:p>
      <w:pPr>
        <w:pStyle w:val="30"/>
        <w:spacing w:before="78" w:after="78"/>
        <w:rPr>
          <w:rFonts w:hint="default" w:ascii="Times New Roman" w:hAnsi="Times New Roman" w:cs="Times New Roman" w:eastAsiaTheme="minorEastAsia"/>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"_Toc163465947" </w:instrText>
      </w:r>
      <w:r>
        <w:rPr>
          <w:rFonts w:hint="default" w:ascii="Times New Roman" w:hAnsi="Times New Roman" w:cs="Times New Roman"/>
        </w:rPr>
        <w:fldChar w:fldCharType="separate"/>
      </w:r>
      <w:r>
        <w:rPr>
          <w:rStyle w:val="52"/>
          <w:rFonts w:hint="default" w:ascii="Times New Roman" w:hAnsi="Times New Roman" w:cs="Times New Roman"/>
        </w:rPr>
        <w:t>附录G （资料性附录） 泄洪操作记录</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_Toc163465947 \h </w:instrText>
      </w:r>
      <w:r>
        <w:rPr>
          <w:rFonts w:hint="default" w:ascii="Times New Roman" w:hAnsi="Times New Roman" w:cs="Times New Roman"/>
        </w:rPr>
        <w:fldChar w:fldCharType="separate"/>
      </w:r>
      <w:r>
        <w:rPr>
          <w:rFonts w:hint="default" w:ascii="Times New Roman" w:hAnsi="Times New Roman" w:cs="Times New Roman"/>
        </w:rPr>
        <w:t>23</w:t>
      </w:r>
      <w:r>
        <w:rPr>
          <w:rFonts w:hint="default" w:ascii="Times New Roman" w:hAnsi="Times New Roman" w:cs="Times New Roman"/>
        </w:rPr>
        <w:fldChar w:fldCharType="end"/>
      </w:r>
      <w:r>
        <w:rPr>
          <w:rFonts w:hint="default" w:ascii="Times New Roman" w:hAnsi="Times New Roman" w:cs="Times New Roman"/>
        </w:rPr>
        <w:fldChar w:fldCharType="end"/>
      </w:r>
    </w:p>
    <w:p>
      <w:pPr>
        <w:pStyle w:val="30"/>
        <w:spacing w:before="78" w:after="78"/>
        <w:rPr>
          <w:rFonts w:hint="default" w:ascii="Times New Roman" w:hAnsi="Times New Roman" w:cs="Times New Roman" w:eastAsiaTheme="minorEastAsia"/>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"_Toc163465949" </w:instrText>
      </w:r>
      <w:r>
        <w:rPr>
          <w:rFonts w:hint="default" w:ascii="Times New Roman" w:hAnsi="Times New Roman" w:cs="Times New Roman"/>
        </w:rPr>
        <w:fldChar w:fldCharType="separate"/>
      </w:r>
      <w:r>
        <w:rPr>
          <w:rStyle w:val="52"/>
          <w:rFonts w:hint="default" w:ascii="Times New Roman" w:hAnsi="Times New Roman" w:cs="Times New Roman"/>
        </w:rPr>
        <w:t>附录H （资料性附录） 物业化服务事项明细表</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_Toc163465949 \h </w:instrText>
      </w:r>
      <w:r>
        <w:rPr>
          <w:rFonts w:hint="default" w:ascii="Times New Roman" w:hAnsi="Times New Roman" w:cs="Times New Roman"/>
        </w:rPr>
        <w:fldChar w:fldCharType="separate"/>
      </w:r>
      <w:r>
        <w:rPr>
          <w:rFonts w:hint="default" w:ascii="Times New Roman" w:hAnsi="Times New Roman" w:cs="Times New Roman"/>
        </w:rPr>
        <w:t>24</w:t>
      </w:r>
      <w:r>
        <w:rPr>
          <w:rFonts w:hint="default" w:ascii="Times New Roman" w:hAnsi="Times New Roman" w:cs="Times New Roman"/>
        </w:rPr>
        <w:fldChar w:fldCharType="end"/>
      </w:r>
      <w:r>
        <w:rPr>
          <w:rFonts w:hint="default" w:ascii="Times New Roman" w:hAnsi="Times New Roman" w:cs="Times New Roman"/>
        </w:rPr>
        <w:fldChar w:fldCharType="end"/>
      </w:r>
    </w:p>
    <w:p>
      <w:pPr>
        <w:pStyle w:val="215"/>
        <w:spacing w:after="468"/>
        <w:rPr>
          <w:rFonts w:hint="default" w:ascii="Times New Roman" w:hAnsi="Times New Roman" w:cs="Times New Roman"/>
        </w:rPr>
        <w:sectPr>
          <w:headerReference r:id="rId5" w:type="default"/>
          <w:footerReference r:id="rId6" w:type="default"/>
          <w:footerReference r:id="rId7" w:type="even"/>
          <w:pgSz w:w="11906" w:h="16838"/>
          <w:pgMar w:top="1134" w:right="1134" w:bottom="1134" w:left="1418" w:header="1134" w:footer="1134" w:gutter="0"/>
          <w:pgNumType w:fmt="upperRoman" w:start="1"/>
          <w:cols w:space="425" w:num="1"/>
          <w:formProt w:val="0"/>
          <w:docGrid w:type="lines" w:linePitch="312" w:charSpace="0"/>
        </w:sectPr>
      </w:pPr>
      <w:r>
        <w:rPr>
          <w:rFonts w:hint="default" w:ascii="Times New Roman" w:hAnsi="Times New Roman" w:cs="Times New Roman"/>
        </w:rPr>
        <w:fldChar w:fldCharType="end"/>
      </w:r>
      <w:bookmarkEnd w:id="0"/>
      <w:bookmarkEnd w:id="1"/>
      <w:bookmarkEnd w:id="2"/>
      <w:bookmarkEnd w:id="3"/>
      <w:bookmarkStart w:id="4" w:name="_Toc163465886"/>
      <w:bookmarkStart w:id="5" w:name="_Toc89782698"/>
    </w:p>
    <w:p>
      <w:pPr>
        <w:pStyle w:val="215"/>
        <w:spacing w:after="468"/>
        <w:rPr>
          <w:rFonts w:hint="default" w:ascii="Times New Roman" w:hAnsi="Times New Roman" w:cs="Times New Roman"/>
        </w:rPr>
      </w:pPr>
      <w:r>
        <w:rPr>
          <w:rFonts w:hint="default" w:ascii="Times New Roman" w:hAnsi="Times New Roman" w:cs="Times New Roman"/>
          <w:spacing w:val="320"/>
        </w:rPr>
        <w:t>前</w:t>
      </w:r>
      <w:r>
        <w:rPr>
          <w:rFonts w:hint="default" w:ascii="Times New Roman" w:hAnsi="Times New Roman" w:cs="Times New Roman"/>
        </w:rPr>
        <w:t>言</w:t>
      </w:r>
      <w:bookmarkEnd w:id="4"/>
      <w:bookmarkEnd w:id="5"/>
    </w:p>
    <w:p>
      <w:pPr>
        <w:pStyle w:val="34"/>
        <w:rPr>
          <w:rFonts w:hint="default" w:ascii="Times New Roman" w:hAnsi="Times New Roman" w:cs="Times New Roman"/>
        </w:rPr>
      </w:pPr>
      <w:r>
        <w:rPr>
          <w:rFonts w:hint="default" w:ascii="Times New Roman" w:hAnsi="Times New Roman" w:cs="Times New Roman"/>
        </w:rPr>
        <w:t>本标准由浙江省水利水电工程管理协会提出并组织实施。</w:t>
      </w:r>
    </w:p>
    <w:p>
      <w:pPr>
        <w:pStyle w:val="34"/>
        <w:rPr>
          <w:rFonts w:hint="default" w:ascii="Times New Roman" w:hAnsi="Times New Roman" w:cs="Times New Roman"/>
        </w:rPr>
      </w:pPr>
      <w:r>
        <w:rPr>
          <w:rFonts w:hint="default" w:ascii="Times New Roman" w:hAnsi="Times New Roman" w:cs="Times New Roman"/>
        </w:rPr>
        <w:t>本标准起草单位：浙江省水利河口研究院（浙江省海洋规划设计研究院）、浙江广川工程咨询有限公司。</w:t>
      </w:r>
    </w:p>
    <w:p>
      <w:pPr>
        <w:pStyle w:val="34"/>
        <w:rPr>
          <w:rFonts w:hint="default" w:ascii="Times New Roman" w:hAnsi="Times New Roman" w:cs="Times New Roman"/>
          <w:highlight w:val="none"/>
        </w:rPr>
      </w:pPr>
      <w:r>
        <w:rPr>
          <w:rFonts w:hint="default" w:ascii="Times New Roman" w:hAnsi="Times New Roman" w:cs="Times New Roman"/>
          <w:highlight w:val="none"/>
        </w:rPr>
        <w:t>本标准主要起草人：何耀辉、吕天伟、胡亮、</w:t>
      </w:r>
      <w:r>
        <w:rPr>
          <w:rFonts w:hint="eastAsia" w:ascii="Times New Roman" w:cs="Times New Roman"/>
          <w:highlight w:val="none"/>
          <w:lang w:val="en-US" w:eastAsia="zh-CN"/>
        </w:rPr>
        <w:t>吴洪峰、</w:t>
      </w:r>
      <w:r>
        <w:rPr>
          <w:rFonts w:hint="default" w:ascii="Times New Roman" w:hAnsi="Times New Roman" w:cs="Times New Roman"/>
          <w:highlight w:val="none"/>
          <w:lang w:val="en-US" w:eastAsia="zh-CN"/>
        </w:rPr>
        <w:t>黄晓洪、</w:t>
      </w:r>
      <w:r>
        <w:rPr>
          <w:rFonts w:hint="default" w:ascii="Times New Roman" w:hAnsi="Times New Roman" w:cs="Times New Roman"/>
          <w:highlight w:val="none"/>
        </w:rPr>
        <w:t>王良、叶碎高、</w:t>
      </w:r>
      <w:r>
        <w:rPr>
          <w:rFonts w:hint="eastAsia" w:ascii="Times New Roman" w:cs="Times New Roman"/>
          <w:highlight w:val="none"/>
          <w:lang w:val="en-US" w:eastAsia="zh-CN"/>
        </w:rPr>
        <w:t>杨忠富、林杰、</w:t>
      </w:r>
      <w:r>
        <w:rPr>
          <w:rFonts w:hint="default" w:ascii="Times New Roman" w:hAnsi="Times New Roman" w:cs="Times New Roman"/>
          <w:highlight w:val="none"/>
        </w:rPr>
        <w:t>丛良良、</w:t>
      </w:r>
      <w:r>
        <w:rPr>
          <w:rFonts w:hint="eastAsia" w:ascii="Times New Roman" w:cs="Times New Roman"/>
          <w:highlight w:val="none"/>
          <w:lang w:val="en-US" w:eastAsia="zh-CN"/>
        </w:rPr>
        <w:t>傅克平</w:t>
      </w:r>
      <w:r>
        <w:rPr>
          <w:rFonts w:hint="default" w:ascii="Times New Roman" w:hAnsi="Times New Roman" w:cs="Times New Roman"/>
          <w:highlight w:val="none"/>
        </w:rPr>
        <w:t>、</w:t>
      </w:r>
      <w:r>
        <w:rPr>
          <w:rFonts w:hint="eastAsia" w:ascii="Times New Roman" w:cs="Times New Roman"/>
          <w:highlight w:val="none"/>
          <w:lang w:val="en-US" w:eastAsia="zh-CN"/>
        </w:rPr>
        <w:t>方张斌</w:t>
      </w:r>
      <w:r>
        <w:rPr>
          <w:rFonts w:hint="default" w:ascii="Times New Roman" w:hAnsi="Times New Roman" w:cs="Times New Roman"/>
          <w:highlight w:val="none"/>
        </w:rPr>
        <w:t>。</w:t>
      </w:r>
    </w:p>
    <w:p>
      <w:pPr>
        <w:pStyle w:val="34"/>
        <w:ind w:firstLine="0" w:firstLineChars="0"/>
        <w:rPr>
          <w:rFonts w:hint="default" w:ascii="Times New Roman" w:hAnsi="Times New Roman" w:cs="Times New Roman"/>
        </w:rPr>
      </w:pPr>
    </w:p>
    <w:p>
      <w:pPr>
        <w:pStyle w:val="34"/>
        <w:rPr>
          <w:rFonts w:hint="default" w:ascii="Times New Roman" w:hAnsi="Times New Roman" w:cs="Times New Roman"/>
        </w:rPr>
        <w:sectPr>
          <w:footerReference r:id="rId8" w:type="default"/>
          <w:footerReference r:id="rId9" w:type="even"/>
          <w:pgSz w:w="11906" w:h="16838"/>
          <w:pgMar w:top="1134" w:right="1134" w:bottom="1134" w:left="1418" w:header="1134" w:footer="1134" w:gutter="0"/>
          <w:pgNumType w:fmt="upperRoman" w:start="1"/>
          <w:cols w:space="425" w:num="1"/>
          <w:formProt w:val="0"/>
          <w:docGrid w:type="lines" w:linePitch="312" w:charSpace="0"/>
        </w:sectPr>
      </w:pPr>
    </w:p>
    <w:p>
      <w:pPr>
        <w:pStyle w:val="286"/>
        <w:spacing w:beforeLines="100" w:afterLines="220"/>
        <w:rPr>
          <w:rFonts w:hint="default" w:ascii="Times New Roman" w:hAnsi="Times New Roman" w:cs="Times New Roman"/>
        </w:rPr>
      </w:pPr>
      <w:bookmarkStart w:id="6" w:name="NEW_STAND_NAME"/>
      <w:r>
        <w:rPr>
          <w:rFonts w:hint="default" w:ascii="Times New Roman" w:hAnsi="Times New Roman" w:cs="Times New Roman"/>
        </w:rPr>
        <w:t>浙江省小型水库物业化服务标准</w:t>
      </w:r>
      <w:bookmarkEnd w:id="6"/>
    </w:p>
    <w:p>
      <w:pPr>
        <w:pStyle w:val="79"/>
        <w:spacing w:before="312" w:after="312"/>
        <w:rPr>
          <w:rFonts w:hint="default" w:ascii="Times New Roman" w:hAnsi="Times New Roman" w:cs="Times New Roman"/>
        </w:rPr>
      </w:pPr>
      <w:bookmarkStart w:id="7" w:name="_Toc163465887"/>
      <w:r>
        <w:rPr>
          <w:rFonts w:hint="default" w:ascii="Times New Roman" w:hAnsi="Times New Roman" w:cs="Times New Roman"/>
        </w:rPr>
        <w:t>范围</w:t>
      </w:r>
      <w:bookmarkEnd w:id="7"/>
    </w:p>
    <w:p>
      <w:pPr>
        <w:pStyle w:val="34"/>
        <w:rPr>
          <w:rFonts w:hint="default" w:ascii="Times New Roman" w:hAnsi="Times New Roman" w:cs="Times New Roman"/>
        </w:rPr>
      </w:pPr>
      <w:r>
        <w:rPr>
          <w:rFonts w:hint="default" w:ascii="Times New Roman" w:hAnsi="Times New Roman" w:cs="Times New Roman"/>
        </w:rPr>
        <w:t>本标准规定了小型水库物业化服务的组织体系、检查监测、维修养护、泄（放）水操作、应急服务、档案管理、数字化服务等要点及要求。</w:t>
      </w:r>
    </w:p>
    <w:p>
      <w:pPr>
        <w:pStyle w:val="34"/>
        <w:rPr>
          <w:rFonts w:hint="default" w:ascii="Times New Roman" w:hAnsi="Times New Roman" w:cs="Times New Roman"/>
        </w:rPr>
      </w:pPr>
      <w:r>
        <w:rPr>
          <w:rFonts w:hint="default" w:ascii="Times New Roman" w:hAnsi="Times New Roman" w:cs="Times New Roman"/>
        </w:rPr>
        <w:t>本标准适用于已建成并投入运行的小型水库物业化服务。</w:t>
      </w:r>
    </w:p>
    <w:p>
      <w:pPr>
        <w:pStyle w:val="79"/>
        <w:spacing w:before="312" w:after="312"/>
        <w:rPr>
          <w:rFonts w:hint="default" w:ascii="Times New Roman" w:hAnsi="Times New Roman" w:cs="Times New Roman"/>
        </w:rPr>
      </w:pPr>
      <w:bookmarkStart w:id="8" w:name="_Toc493773239"/>
      <w:bookmarkStart w:id="9" w:name="_Toc163465888"/>
      <w:bookmarkStart w:id="10" w:name="_Toc480102916"/>
      <w:bookmarkStart w:id="11" w:name="_Toc501612730"/>
      <w:r>
        <w:rPr>
          <w:rFonts w:hint="default" w:ascii="Times New Roman" w:hAnsi="Times New Roman" w:cs="Times New Roman"/>
        </w:rPr>
        <w:t>规范性引用文件</w:t>
      </w:r>
      <w:bookmarkEnd w:id="8"/>
      <w:bookmarkEnd w:id="9"/>
      <w:bookmarkEnd w:id="10"/>
      <w:bookmarkEnd w:id="11"/>
    </w:p>
    <w:p>
      <w:pPr>
        <w:pStyle w:val="34"/>
        <w:rPr>
          <w:rFonts w:hint="default" w:ascii="Times New Roman" w:hAnsi="Times New Roman" w:cs="Times New Roman"/>
        </w:rPr>
      </w:pPr>
      <w:r>
        <w:rPr>
          <w:rFonts w:hint="default" w:ascii="Times New Roman" w:hAnsi="Times New Roman" w:cs="Times New Roman"/>
        </w:rPr>
        <w:t>下列文件中的内容通过文中的规范性引用而构成本文件必不可少的条款。其中，注日期的引用文件，仅该日期对应的版本适用于本文件；不注日期的引用文件，其最新版本（包括所有的修改单）适用于本标准。</w:t>
      </w:r>
    </w:p>
    <w:p>
      <w:pPr>
        <w:pStyle w:val="34"/>
        <w:rPr>
          <w:rFonts w:hint="default" w:ascii="Times New Roman" w:hAnsi="Times New Roman" w:cs="Times New Roman"/>
        </w:rPr>
      </w:pPr>
      <w:r>
        <w:rPr>
          <w:rFonts w:hint="default" w:ascii="Times New Roman" w:hAnsi="Times New Roman" w:cs="Times New Roman"/>
        </w:rPr>
        <w:t>GB/T 5972  起重机 钢丝绳保养、维护、安装、检验和报废</w:t>
      </w:r>
    </w:p>
    <w:p>
      <w:pPr>
        <w:pStyle w:val="34"/>
        <w:rPr>
          <w:rFonts w:hint="default" w:ascii="Times New Roman" w:hAnsi="Times New Roman" w:cs="Times New Roman"/>
        </w:rPr>
      </w:pPr>
      <w:r>
        <w:rPr>
          <w:rFonts w:hint="default" w:ascii="Times New Roman" w:hAnsi="Times New Roman" w:cs="Times New Roman"/>
        </w:rPr>
        <w:t>GB/T 11822  科学技术档案案卷构成的一般要求</w:t>
      </w:r>
    </w:p>
    <w:p>
      <w:pPr>
        <w:pStyle w:val="34"/>
        <w:rPr>
          <w:rFonts w:hint="default" w:ascii="Times New Roman" w:hAnsi="Times New Roman" w:cs="Times New Roman"/>
        </w:rPr>
      </w:pPr>
      <w:r>
        <w:rPr>
          <w:rFonts w:hint="default" w:ascii="Times New Roman" w:hAnsi="Times New Roman" w:cs="Times New Roman"/>
        </w:rPr>
        <w:t>GB/T 18894  电子文件归档与管理规范</w:t>
      </w:r>
    </w:p>
    <w:p>
      <w:pPr>
        <w:pStyle w:val="34"/>
        <w:rPr>
          <w:rFonts w:hint="default" w:ascii="Times New Roman" w:hAnsi="Times New Roman" w:cs="Times New Roman"/>
        </w:rPr>
      </w:pPr>
      <w:r>
        <w:rPr>
          <w:rFonts w:hint="default" w:ascii="Times New Roman" w:hAnsi="Times New Roman" w:cs="Times New Roman"/>
        </w:rPr>
        <w:t>GB/T 50138　水位观测标准</w:t>
      </w:r>
    </w:p>
    <w:p>
      <w:pPr>
        <w:pStyle w:val="34"/>
        <w:rPr>
          <w:rFonts w:hint="default" w:ascii="Times New Roman" w:hAnsi="Times New Roman" w:cs="Times New Roman"/>
        </w:rPr>
      </w:pPr>
      <w:r>
        <w:rPr>
          <w:rFonts w:hint="default" w:ascii="Times New Roman" w:hAnsi="Times New Roman" w:cs="Times New Roman"/>
        </w:rPr>
        <w:t>GB/T 51253  建设工程白蚁危害评定标准</w:t>
      </w:r>
    </w:p>
    <w:p>
      <w:pPr>
        <w:pStyle w:val="34"/>
        <w:rPr>
          <w:rFonts w:hint="default" w:ascii="Times New Roman" w:hAnsi="Times New Roman" w:cs="Times New Roman"/>
        </w:rPr>
      </w:pPr>
      <w:r>
        <w:rPr>
          <w:rFonts w:hint="default" w:ascii="Times New Roman" w:hAnsi="Times New Roman" w:cs="Times New Roman"/>
        </w:rPr>
        <w:t>SL 21 　降水量观测规范</w:t>
      </w:r>
    </w:p>
    <w:p>
      <w:pPr>
        <w:pStyle w:val="34"/>
        <w:rPr>
          <w:rFonts w:hint="default" w:ascii="Times New Roman" w:hAnsi="Times New Roman" w:cs="Times New Roman"/>
        </w:rPr>
      </w:pPr>
      <w:r>
        <w:rPr>
          <w:rFonts w:hint="default" w:ascii="Times New Roman" w:hAnsi="Times New Roman" w:cs="Times New Roman"/>
        </w:rPr>
        <w:t>SL 61　水文自动测报系统技术规范</w:t>
      </w:r>
    </w:p>
    <w:p>
      <w:pPr>
        <w:pStyle w:val="34"/>
        <w:rPr>
          <w:rFonts w:hint="default" w:ascii="Times New Roman" w:hAnsi="Times New Roman" w:cs="Times New Roman"/>
        </w:rPr>
      </w:pPr>
      <w:r>
        <w:rPr>
          <w:rFonts w:hint="default" w:ascii="Times New Roman" w:hAnsi="Times New Roman" w:cs="Times New Roman"/>
        </w:rPr>
        <w:t>SL 101  水工钢闸门和启闭机安全检测技术规程</w:t>
      </w:r>
    </w:p>
    <w:p>
      <w:pPr>
        <w:pStyle w:val="34"/>
        <w:rPr>
          <w:rFonts w:hint="default" w:ascii="Times New Roman" w:hAnsi="Times New Roman" w:cs="Times New Roman"/>
        </w:rPr>
      </w:pPr>
      <w:r>
        <w:rPr>
          <w:rFonts w:hint="default" w:ascii="Times New Roman" w:hAnsi="Times New Roman" w:cs="Times New Roman"/>
        </w:rPr>
        <w:t>SL 105  水工金属结构防腐蚀规范</w:t>
      </w:r>
    </w:p>
    <w:p>
      <w:pPr>
        <w:pStyle w:val="34"/>
        <w:rPr>
          <w:rFonts w:hint="default" w:ascii="Times New Roman" w:hAnsi="Times New Roman" w:cs="Times New Roman"/>
        </w:rPr>
      </w:pPr>
      <w:r>
        <w:rPr>
          <w:rFonts w:hint="default" w:ascii="Times New Roman" w:hAnsi="Times New Roman" w:cs="Times New Roman"/>
        </w:rPr>
        <w:t>SL 210  土石坝养护修理规程</w:t>
      </w:r>
    </w:p>
    <w:p>
      <w:pPr>
        <w:pStyle w:val="34"/>
        <w:rPr>
          <w:rFonts w:hint="default" w:ascii="Times New Roman" w:hAnsi="Times New Roman" w:cs="Times New Roman"/>
        </w:rPr>
      </w:pPr>
      <w:r>
        <w:rPr>
          <w:rFonts w:hint="default" w:ascii="Times New Roman" w:hAnsi="Times New Roman" w:cs="Times New Roman"/>
        </w:rPr>
        <w:t>SL 226  水利水电工程金属结构报废标准</w:t>
      </w:r>
    </w:p>
    <w:p>
      <w:pPr>
        <w:pStyle w:val="34"/>
        <w:rPr>
          <w:rFonts w:hint="default" w:ascii="Times New Roman" w:hAnsi="Times New Roman" w:cs="Times New Roman"/>
        </w:rPr>
      </w:pPr>
      <w:r>
        <w:rPr>
          <w:rFonts w:hint="default" w:ascii="Times New Roman" w:hAnsi="Times New Roman" w:cs="Times New Roman"/>
        </w:rPr>
        <w:t>SL 230  混凝土坝养护修理规程</w:t>
      </w:r>
    </w:p>
    <w:p>
      <w:pPr>
        <w:pStyle w:val="34"/>
        <w:rPr>
          <w:rFonts w:hint="default" w:ascii="Times New Roman" w:hAnsi="Times New Roman" w:cs="Times New Roman"/>
        </w:rPr>
      </w:pPr>
      <w:r>
        <w:rPr>
          <w:rFonts w:hint="default" w:ascii="Times New Roman" w:hAnsi="Times New Roman" w:cs="Times New Roman"/>
        </w:rPr>
        <w:t>SL 551  土石坝安全监测技术规范</w:t>
      </w:r>
    </w:p>
    <w:p>
      <w:pPr>
        <w:pStyle w:val="34"/>
        <w:rPr>
          <w:rFonts w:hint="default" w:ascii="Times New Roman" w:hAnsi="Times New Roman" w:cs="Times New Roman"/>
        </w:rPr>
      </w:pPr>
      <w:r>
        <w:rPr>
          <w:rFonts w:hint="default" w:ascii="Times New Roman" w:hAnsi="Times New Roman" w:cs="Times New Roman"/>
        </w:rPr>
        <w:t>SL 601  混凝土坝安全监测技术规范</w:t>
      </w:r>
    </w:p>
    <w:p>
      <w:pPr>
        <w:pStyle w:val="34"/>
        <w:rPr>
          <w:rFonts w:hint="default" w:ascii="Times New Roman" w:hAnsi="Times New Roman" w:cs="Times New Roman"/>
        </w:rPr>
      </w:pPr>
      <w:r>
        <w:rPr>
          <w:rFonts w:hint="default" w:ascii="Times New Roman" w:hAnsi="Times New Roman" w:cs="Times New Roman"/>
        </w:rPr>
        <w:t>SL 621  大坝安全监测仪器报废标准</w:t>
      </w:r>
    </w:p>
    <w:p>
      <w:pPr>
        <w:pStyle w:val="34"/>
        <w:rPr>
          <w:rFonts w:hint="default" w:ascii="Times New Roman" w:hAnsi="Times New Roman" w:cs="Times New Roman"/>
        </w:rPr>
      </w:pPr>
      <w:r>
        <w:rPr>
          <w:rFonts w:hint="default" w:ascii="Times New Roman" w:hAnsi="Times New Roman" w:cs="Times New Roman"/>
        </w:rPr>
        <w:t>SL 722  水工钢闸门和启闭机安全运行规程</w:t>
      </w:r>
    </w:p>
    <w:p>
      <w:pPr>
        <w:pStyle w:val="34"/>
        <w:rPr>
          <w:rFonts w:hint="default" w:ascii="Times New Roman" w:hAnsi="Times New Roman" w:cs="Times New Roman"/>
        </w:rPr>
      </w:pPr>
      <w:r>
        <w:rPr>
          <w:rFonts w:hint="default" w:ascii="Times New Roman" w:hAnsi="Times New Roman" w:cs="Times New Roman"/>
        </w:rPr>
        <w:t>SL 725  水利水电工程安全监测设计规范</w:t>
      </w:r>
    </w:p>
    <w:p>
      <w:pPr>
        <w:pStyle w:val="34"/>
        <w:rPr>
          <w:rFonts w:hint="default" w:ascii="Times New Roman" w:hAnsi="Times New Roman" w:cs="Times New Roman"/>
        </w:rPr>
      </w:pPr>
      <w:r>
        <w:rPr>
          <w:rFonts w:hint="default" w:ascii="Times New Roman" w:hAnsi="Times New Roman" w:cs="Times New Roman"/>
        </w:rPr>
        <w:t>SL 803  水利网络安全保护技术规范</w:t>
      </w:r>
    </w:p>
    <w:p>
      <w:pPr>
        <w:pStyle w:val="34"/>
        <w:rPr>
          <w:rFonts w:hint="default" w:ascii="Times New Roman" w:hAnsi="Times New Roman" w:cs="Times New Roman"/>
        </w:rPr>
      </w:pPr>
      <w:r>
        <w:rPr>
          <w:rFonts w:hint="default" w:ascii="Times New Roman" w:hAnsi="Times New Roman" w:cs="Times New Roman"/>
        </w:rPr>
        <w:t>DB33/T 2214  小型水库管理规程</w:t>
      </w:r>
    </w:p>
    <w:p>
      <w:pPr>
        <w:pStyle w:val="79"/>
        <w:spacing w:before="312" w:after="312"/>
        <w:rPr>
          <w:rFonts w:hint="default" w:ascii="Times New Roman" w:hAnsi="Times New Roman" w:cs="Times New Roman"/>
        </w:rPr>
      </w:pPr>
      <w:bookmarkStart w:id="12" w:name="_Toc490318909"/>
      <w:bookmarkEnd w:id="12"/>
      <w:bookmarkStart w:id="13" w:name="_Toc490318907"/>
      <w:bookmarkEnd w:id="13"/>
      <w:bookmarkStart w:id="14" w:name="_Toc490318911"/>
      <w:bookmarkEnd w:id="14"/>
      <w:bookmarkStart w:id="15" w:name="_Toc163465889"/>
      <w:r>
        <w:rPr>
          <w:rFonts w:hint="default" w:ascii="Times New Roman" w:hAnsi="Times New Roman" w:cs="Times New Roman"/>
        </w:rPr>
        <w:t>术语和定义</w:t>
      </w:r>
      <w:bookmarkEnd w:id="15"/>
    </w:p>
    <w:p>
      <w:pPr>
        <w:pStyle w:val="76"/>
        <w:spacing w:before="156" w:after="156"/>
        <w:outlineLvl w:val="9"/>
        <w:rPr>
          <w:rFonts w:hint="default" w:ascii="Times New Roman" w:hAnsi="Times New Roman" w:cs="Times New Roman"/>
        </w:rPr>
      </w:pPr>
      <w:bookmarkStart w:id="16" w:name="_Toc148882741"/>
      <w:r>
        <w:rPr>
          <w:rFonts w:hint="eastAsia" w:ascii="Times New Roman" w:cs="Times New Roman"/>
          <w:lang w:val="en-US" w:eastAsia="zh-CN"/>
        </w:rPr>
        <w:t>物业化服务</w:t>
      </w:r>
    </w:p>
    <w:p>
      <w:pPr>
        <w:pStyle w:val="34"/>
        <w:rPr>
          <w:rFonts w:hint="default" w:ascii="Times New Roman" w:hAnsi="Times New Roman" w:cs="Times New Roman"/>
          <w:color w:val="333333"/>
          <w:sz w:val="19"/>
          <w:szCs w:val="19"/>
          <w:shd w:val="clear" w:color="auto" w:fill="FFFFFF"/>
        </w:rPr>
      </w:pPr>
      <w:r>
        <w:rPr>
          <w:rFonts w:hint="default" w:ascii="Times New Roman" w:hAnsi="Times New Roman" w:cs="Times New Roman"/>
        </w:rPr>
        <w:t>水利工程运行管护责任主体通过购买服务方式，将管护业务委托市场主体，实现专业化管护的一种模式</w:t>
      </w:r>
      <w:r>
        <w:rPr>
          <w:rFonts w:hint="default" w:ascii="Times New Roman" w:hAnsi="Times New Roman" w:cs="Times New Roman"/>
          <w:color w:val="333333"/>
          <w:sz w:val="19"/>
          <w:szCs w:val="19"/>
          <w:shd w:val="clear" w:color="auto" w:fill="FFFFFF"/>
        </w:rPr>
        <w:t>。</w:t>
      </w:r>
      <w:bookmarkEnd w:id="16"/>
      <w:bookmarkStart w:id="17" w:name="_Toc493772587"/>
      <w:bookmarkEnd w:id="17"/>
      <w:bookmarkStart w:id="18" w:name="_Toc493773092"/>
      <w:bookmarkEnd w:id="18"/>
      <w:bookmarkStart w:id="19" w:name="_Toc491514448"/>
      <w:bookmarkEnd w:id="19"/>
      <w:bookmarkStart w:id="20" w:name="_Toc490318897"/>
      <w:bookmarkEnd w:id="20"/>
      <w:bookmarkStart w:id="21" w:name="_Toc493773241"/>
      <w:bookmarkEnd w:id="21"/>
      <w:bookmarkStart w:id="22" w:name="_Toc148882744"/>
      <w:bookmarkEnd w:id="22"/>
      <w:bookmarkStart w:id="23" w:name="_Toc493773094"/>
      <w:bookmarkEnd w:id="23"/>
      <w:bookmarkStart w:id="24" w:name="_Toc493773243"/>
      <w:bookmarkEnd w:id="24"/>
      <w:bookmarkStart w:id="25" w:name="_Toc148882746"/>
      <w:bookmarkEnd w:id="25"/>
      <w:bookmarkStart w:id="26" w:name="_Toc490318895"/>
      <w:bookmarkEnd w:id="26"/>
      <w:bookmarkStart w:id="27" w:name="_Toc491514450"/>
      <w:bookmarkEnd w:id="27"/>
      <w:bookmarkStart w:id="28" w:name="_Toc501612732"/>
      <w:bookmarkEnd w:id="28"/>
      <w:bookmarkStart w:id="29" w:name="_Toc149559718"/>
      <w:bookmarkEnd w:id="29"/>
      <w:bookmarkStart w:id="30" w:name="_Toc148882742"/>
      <w:bookmarkEnd w:id="30"/>
      <w:bookmarkStart w:id="31" w:name="_Toc493772585"/>
      <w:bookmarkEnd w:id="31"/>
    </w:p>
    <w:p>
      <w:pPr>
        <w:pStyle w:val="34"/>
        <w:ind w:firstLine="380"/>
        <w:rPr>
          <w:rFonts w:hint="default" w:ascii="Times New Roman" w:hAnsi="Times New Roman" w:cs="Times New Roman"/>
          <w:color w:val="333333"/>
          <w:sz w:val="19"/>
          <w:szCs w:val="19"/>
          <w:shd w:val="clear" w:color="auto" w:fill="FFFFFF"/>
        </w:rPr>
      </w:pPr>
    </w:p>
    <w:p>
      <w:pPr>
        <w:pStyle w:val="34"/>
        <w:ind w:firstLine="380"/>
        <w:rPr>
          <w:rFonts w:hint="default" w:ascii="Times New Roman" w:hAnsi="Times New Roman" w:cs="Times New Roman"/>
          <w:color w:val="333333"/>
          <w:sz w:val="19"/>
          <w:szCs w:val="19"/>
          <w:shd w:val="clear" w:color="auto" w:fill="FFFFFF"/>
        </w:rPr>
      </w:pPr>
    </w:p>
    <w:p>
      <w:pPr>
        <w:pStyle w:val="76"/>
        <w:spacing w:before="156" w:after="156"/>
        <w:outlineLvl w:val="9"/>
        <w:rPr>
          <w:rFonts w:hint="default" w:ascii="Times New Roman" w:hAnsi="Times New Roman" w:cs="Times New Roman"/>
        </w:rPr>
      </w:pPr>
      <w:r>
        <w:rPr>
          <w:rFonts w:hint="eastAsia" w:ascii="Times New Roman" w:cs="Times New Roman"/>
          <w:lang w:val="en-US" w:eastAsia="zh-CN"/>
        </w:rPr>
        <w:t>物业化服务单位</w:t>
      </w:r>
    </w:p>
    <w:p>
      <w:pPr>
        <w:pStyle w:val="34"/>
        <w:rPr>
          <w:rFonts w:hint="default" w:ascii="Times New Roman" w:hAnsi="Times New Roman" w:cs="Times New Roman"/>
          <w:color w:val="333333"/>
          <w:sz w:val="19"/>
          <w:szCs w:val="19"/>
          <w:shd w:val="clear" w:color="auto" w:fill="FFFFFF"/>
        </w:rPr>
      </w:pPr>
      <w:r>
        <w:rPr>
          <w:rFonts w:hint="default" w:ascii="Times New Roman" w:hAnsi="Times New Roman" w:cs="Times New Roman"/>
        </w:rPr>
        <w:t>依法注册登记且具有运行维养业务相应专业技术人员、技术装备和服务能力的企事业法人单位</w:t>
      </w:r>
      <w:r>
        <w:rPr>
          <w:rFonts w:hint="default" w:ascii="Times New Roman" w:hAnsi="Times New Roman" w:cs="Times New Roman"/>
          <w:color w:val="333333"/>
          <w:sz w:val="19"/>
          <w:szCs w:val="19"/>
          <w:shd w:val="clear" w:color="auto" w:fill="FFFFFF"/>
        </w:rPr>
        <w:t>。</w:t>
      </w:r>
    </w:p>
    <w:p>
      <w:pPr>
        <w:pStyle w:val="76"/>
        <w:spacing w:before="156" w:after="156"/>
        <w:outlineLvl w:val="9"/>
        <w:rPr>
          <w:rFonts w:hint="default" w:ascii="Times New Roman" w:hAnsi="Times New Roman" w:cs="Times New Roman"/>
        </w:rPr>
      </w:pPr>
      <w:r>
        <w:rPr>
          <w:rFonts w:hint="eastAsia" w:ascii="Times New Roman" w:cs="Times New Roman"/>
          <w:lang w:val="en-US" w:eastAsia="zh-CN"/>
        </w:rPr>
        <w:t>项目部</w:t>
      </w:r>
    </w:p>
    <w:p>
      <w:pPr>
        <w:pStyle w:val="34"/>
        <w:rPr>
          <w:rFonts w:hint="default" w:ascii="Times New Roman" w:hAnsi="Times New Roman" w:cs="Times New Roman"/>
          <w:color w:val="333333"/>
          <w:sz w:val="19"/>
          <w:szCs w:val="19"/>
          <w:shd w:val="clear" w:color="auto" w:fill="FFFFFF"/>
        </w:rPr>
      </w:pPr>
      <w:r>
        <w:rPr>
          <w:rFonts w:hint="default" w:ascii="Times New Roman" w:hAnsi="Times New Roman" w:cs="Times New Roman"/>
        </w:rPr>
        <w:t>物业化服务单位为高质量提供水利工程运行维养服务而设立的现场机构。</w:t>
      </w:r>
    </w:p>
    <w:p>
      <w:pPr>
        <w:pStyle w:val="79"/>
        <w:spacing w:before="312" w:after="312"/>
        <w:rPr>
          <w:rFonts w:hint="default" w:ascii="Times New Roman" w:hAnsi="Times New Roman" w:cs="Times New Roman"/>
        </w:rPr>
      </w:pPr>
      <w:bookmarkStart w:id="32" w:name="_Toc163465890"/>
      <w:r>
        <w:rPr>
          <w:rFonts w:hint="default" w:ascii="Times New Roman" w:hAnsi="Times New Roman" w:cs="Times New Roman"/>
        </w:rPr>
        <w:t>基本规定</w:t>
      </w:r>
      <w:bookmarkEnd w:id="32"/>
    </w:p>
    <w:p>
      <w:pPr>
        <w:pStyle w:val="159"/>
        <w:rPr>
          <w:rFonts w:hint="default" w:ascii="Times New Roman" w:hAnsi="Times New Roman" w:cs="Times New Roman"/>
        </w:rPr>
      </w:pPr>
      <w:bookmarkStart w:id="33" w:name="_Toc163465891"/>
      <w:bookmarkStart w:id="34" w:name="_Toc163461447"/>
      <w:bookmarkStart w:id="35" w:name="_Toc152683747"/>
      <w:bookmarkStart w:id="36" w:name="_Toc152685326"/>
      <w:bookmarkStart w:id="37" w:name="_Toc525283210"/>
      <w:bookmarkStart w:id="38" w:name="_Toc526084803"/>
      <w:bookmarkStart w:id="39" w:name="_Toc149559726"/>
      <w:r>
        <w:rPr>
          <w:rFonts w:hint="default" w:ascii="Times New Roman" w:hAnsi="Times New Roman" w:cs="Times New Roman"/>
        </w:rPr>
        <w:t>物业化服务单位按照合同约定，承担小型水库运行维养业务及责任。</w:t>
      </w:r>
      <w:bookmarkEnd w:id="33"/>
      <w:bookmarkEnd w:id="34"/>
    </w:p>
    <w:p>
      <w:pPr>
        <w:pStyle w:val="159"/>
        <w:rPr>
          <w:rFonts w:hint="default" w:ascii="Times New Roman" w:hAnsi="Times New Roman" w:cs="Times New Roman"/>
        </w:rPr>
      </w:pPr>
      <w:bookmarkStart w:id="40" w:name="_Toc163461448"/>
      <w:bookmarkStart w:id="41" w:name="_Toc163465892"/>
      <w:r>
        <w:rPr>
          <w:rFonts w:hint="default" w:ascii="Times New Roman" w:hAnsi="Times New Roman" w:cs="Times New Roman"/>
        </w:rPr>
        <w:t>物业化服务单位提供小型水库运行维养服务，不改变小型水库安全管理责任主体。</w:t>
      </w:r>
      <w:bookmarkEnd w:id="40"/>
      <w:bookmarkEnd w:id="41"/>
    </w:p>
    <w:bookmarkEnd w:id="35"/>
    <w:bookmarkEnd w:id="36"/>
    <w:bookmarkEnd w:id="37"/>
    <w:bookmarkEnd w:id="38"/>
    <w:bookmarkEnd w:id="39"/>
    <w:p>
      <w:pPr>
        <w:pStyle w:val="79"/>
        <w:spacing w:before="312" w:after="312"/>
        <w:rPr>
          <w:rFonts w:hint="default" w:ascii="Times New Roman" w:hAnsi="Times New Roman" w:cs="Times New Roman"/>
        </w:rPr>
      </w:pPr>
      <w:bookmarkStart w:id="42" w:name="_Toc163465893"/>
      <w:r>
        <w:rPr>
          <w:rFonts w:hint="default" w:ascii="Times New Roman" w:hAnsi="Times New Roman" w:cs="Times New Roman"/>
        </w:rPr>
        <w:t>组织体系</w:t>
      </w:r>
      <w:bookmarkEnd w:id="42"/>
    </w:p>
    <w:p>
      <w:pPr>
        <w:pStyle w:val="76"/>
        <w:spacing w:before="156" w:after="156"/>
        <w:rPr>
          <w:rFonts w:hint="default" w:ascii="Times New Roman" w:hAnsi="Times New Roman" w:cs="Times New Roman"/>
        </w:rPr>
      </w:pPr>
      <w:bookmarkStart w:id="43" w:name="_Toc163465894"/>
      <w:bookmarkStart w:id="44" w:name="_Toc525283211"/>
      <w:bookmarkStart w:id="45" w:name="_Toc490318914"/>
      <w:bookmarkStart w:id="46" w:name="_Toc493772594"/>
      <w:bookmarkStart w:id="47" w:name="_Toc152685325"/>
      <w:bookmarkStart w:id="48" w:name="_Toc152683746"/>
      <w:bookmarkStart w:id="49" w:name="_Toc149559725"/>
      <w:bookmarkStart w:id="50" w:name="_Toc526084801"/>
      <w:bookmarkStart w:id="51" w:name="_Toc493773250"/>
      <w:bookmarkStart w:id="52" w:name="_Toc493773101"/>
      <w:bookmarkStart w:id="53" w:name="_Toc491514457"/>
      <w:r>
        <w:rPr>
          <w:rFonts w:hint="default" w:ascii="Times New Roman" w:hAnsi="Times New Roman" w:cs="Times New Roman"/>
        </w:rPr>
        <w:t>组织机构</w:t>
      </w:r>
      <w:bookmarkEnd w:id="43"/>
    </w:p>
    <w:p>
      <w:pPr>
        <w:pStyle w:val="97"/>
        <w:rPr>
          <w:rFonts w:hint="default" w:ascii="Times New Roman" w:hAnsi="Times New Roman" w:cs="Times New Roman"/>
        </w:rPr>
      </w:pPr>
      <w:r>
        <w:rPr>
          <w:rFonts w:hint="default" w:ascii="Times New Roman" w:hAnsi="Times New Roman" w:cs="Times New Roman"/>
        </w:rPr>
        <w:t>物业化服务单位应为依法注册登记且具有运行维养业务相应专业技术人员、技术装备和服务能力的企事业法人单位。</w:t>
      </w:r>
    </w:p>
    <w:p>
      <w:pPr>
        <w:pStyle w:val="97"/>
        <w:rPr>
          <w:rFonts w:hint="default" w:ascii="Times New Roman" w:hAnsi="Times New Roman" w:cs="Times New Roman"/>
        </w:rPr>
      </w:pPr>
      <w:r>
        <w:rPr>
          <w:rFonts w:hint="default" w:ascii="Times New Roman" w:hAnsi="Times New Roman" w:cs="Times New Roman"/>
        </w:rPr>
        <w:t>物业化服务单位提供的服务内容一般有检查监测、维修养护、值班值守、绿化保洁、生物防治、运行操作、数字化服务等，具体服务内容按合同约定执行。签订合同时，应明确服务事项、服务标准、服务费用、双方权利和义务、违约责任等内容。</w:t>
      </w:r>
    </w:p>
    <w:p>
      <w:pPr>
        <w:pStyle w:val="97"/>
        <w:rPr>
          <w:rFonts w:hint="default" w:ascii="Times New Roman" w:hAnsi="Times New Roman" w:cs="Times New Roman"/>
        </w:rPr>
      </w:pPr>
      <w:r>
        <w:rPr>
          <w:rFonts w:hint="default" w:ascii="Times New Roman" w:hAnsi="Times New Roman" w:cs="Times New Roman"/>
        </w:rPr>
        <w:t>物业化服务单位可根据小型水库的工程分布、工程类型或管理模式、区域交通条件等设置项目部，实行集约化管理。未设立项目部的，由物业化服务单位统一管理并参照执行。</w:t>
      </w:r>
    </w:p>
    <w:p>
      <w:pPr>
        <w:pStyle w:val="97"/>
        <w:rPr>
          <w:rFonts w:hint="default" w:ascii="Times New Roman" w:hAnsi="Times New Roman" w:cs="Times New Roman"/>
        </w:rPr>
      </w:pPr>
      <w:r>
        <w:rPr>
          <w:rFonts w:hint="default" w:ascii="Times New Roman" w:hAnsi="Times New Roman" w:cs="Times New Roman"/>
        </w:rPr>
        <w:t>项目部应配备满足物业化服务需求的技术人员、技术装备及固定办公场所，明确管理制度和岗位职责，接受委托方的管理和当地政府及水行政主管部门的监督。</w:t>
      </w:r>
    </w:p>
    <w:p>
      <w:pPr>
        <w:pStyle w:val="76"/>
        <w:spacing w:before="156" w:after="156"/>
        <w:rPr>
          <w:rFonts w:hint="default" w:ascii="Times New Roman" w:hAnsi="Times New Roman" w:cs="Times New Roman"/>
        </w:rPr>
      </w:pPr>
      <w:bookmarkStart w:id="54" w:name="_Toc163465895"/>
      <w:r>
        <w:rPr>
          <w:rFonts w:hint="default" w:ascii="Times New Roman" w:hAnsi="Times New Roman" w:cs="Times New Roman"/>
        </w:rPr>
        <w:t>岗位及人员</w:t>
      </w:r>
      <w:bookmarkEnd w:id="54"/>
    </w:p>
    <w:p>
      <w:pPr>
        <w:pStyle w:val="97"/>
        <w:rPr>
          <w:rFonts w:hint="default" w:ascii="Times New Roman" w:hAnsi="Times New Roman" w:cs="Times New Roman"/>
        </w:rPr>
      </w:pPr>
      <w:r>
        <w:rPr>
          <w:rFonts w:hint="default" w:ascii="Times New Roman" w:hAnsi="Times New Roman" w:cs="Times New Roman"/>
        </w:rPr>
        <w:t>项目部宜设置以下几类岗位：</w:t>
      </w:r>
    </w:p>
    <w:p>
      <w:pPr>
        <w:pStyle w:val="93"/>
        <w:rPr>
          <w:rFonts w:hint="default" w:ascii="Times New Roman" w:hAnsi="Times New Roman" w:cs="Times New Roman"/>
        </w:rPr>
      </w:pPr>
      <w:r>
        <w:rPr>
          <w:rFonts w:hint="default" w:ascii="Times New Roman" w:hAnsi="Times New Roman" w:cs="Times New Roman"/>
        </w:rPr>
        <w:t>负责岗位：项目负责、技术负责、巡查负责等；</w:t>
      </w:r>
    </w:p>
    <w:p>
      <w:pPr>
        <w:pStyle w:val="93"/>
        <w:rPr>
          <w:rFonts w:hint="default" w:ascii="Times New Roman" w:hAnsi="Times New Roman" w:cs="Times New Roman"/>
        </w:rPr>
      </w:pPr>
      <w:r>
        <w:rPr>
          <w:rFonts w:hint="default" w:ascii="Times New Roman" w:hAnsi="Times New Roman" w:cs="Times New Roman"/>
        </w:rPr>
        <w:t>技术管理岗位：水工技术管理、金属结构和机电设备技术管理、档案管理、安全与质量管理等；</w:t>
      </w:r>
    </w:p>
    <w:p>
      <w:pPr>
        <w:pStyle w:val="93"/>
        <w:rPr>
          <w:rFonts w:hint="default" w:ascii="Times New Roman" w:hAnsi="Times New Roman" w:cs="Times New Roman"/>
        </w:rPr>
      </w:pPr>
      <w:r>
        <w:rPr>
          <w:rFonts w:hint="default" w:ascii="Times New Roman" w:hAnsi="Times New Roman" w:cs="Times New Roman"/>
        </w:rPr>
        <w:t>运行与维护岗位：日常巡查及维护、安全监测及设施维护，闸门、启闭机及机电设备运行及维护等；</w:t>
      </w:r>
    </w:p>
    <w:p>
      <w:pPr>
        <w:pStyle w:val="93"/>
        <w:rPr>
          <w:rFonts w:hint="default" w:ascii="Times New Roman" w:hAnsi="Times New Roman" w:cs="Times New Roman"/>
        </w:rPr>
      </w:pPr>
      <w:r>
        <w:rPr>
          <w:rFonts w:hint="default" w:ascii="Times New Roman" w:hAnsi="Times New Roman" w:cs="Times New Roman"/>
        </w:rPr>
        <w:t>辅助岗位：工程保洁、绿化养护、水面清漂等。</w:t>
      </w:r>
    </w:p>
    <w:p>
      <w:pPr>
        <w:pStyle w:val="97"/>
        <w:rPr>
          <w:rFonts w:hint="default" w:ascii="Times New Roman" w:hAnsi="Times New Roman" w:cs="Times New Roman"/>
        </w:rPr>
      </w:pPr>
      <w:r>
        <w:rPr>
          <w:rFonts w:hint="default" w:ascii="Times New Roman" w:hAnsi="Times New Roman" w:cs="Times New Roman"/>
        </w:rPr>
        <w:t>项目部岗位定员应满足附录A。</w:t>
      </w:r>
    </w:p>
    <w:p>
      <w:pPr>
        <w:pStyle w:val="97"/>
        <w:rPr>
          <w:rFonts w:hint="default" w:ascii="Times New Roman" w:hAnsi="Times New Roman" w:cs="Times New Roman"/>
        </w:rPr>
      </w:pPr>
      <w:r>
        <w:rPr>
          <w:rFonts w:hint="default" w:ascii="Times New Roman" w:hAnsi="Times New Roman" w:cs="Times New Roman"/>
        </w:rPr>
        <w:t>人员上岗前应经过岗位培训，掌握与工作岗位相适应的专业知识和业务技能，并接受水库主管部门和水行政主管部门组织的业务培训。国家及行业对岗位有职业资格证书要求的，应按相关规定执行。</w:t>
      </w:r>
    </w:p>
    <w:p>
      <w:pPr>
        <w:pStyle w:val="76"/>
        <w:spacing w:before="156" w:after="156"/>
        <w:rPr>
          <w:rFonts w:hint="default" w:ascii="Times New Roman" w:hAnsi="Times New Roman" w:cs="Times New Roman"/>
        </w:rPr>
      </w:pPr>
      <w:bookmarkStart w:id="55" w:name="_Toc163465896"/>
      <w:r>
        <w:rPr>
          <w:rFonts w:hint="default" w:ascii="Times New Roman" w:hAnsi="Times New Roman" w:cs="Times New Roman"/>
        </w:rPr>
        <w:t>管理制度</w:t>
      </w:r>
      <w:bookmarkEnd w:id="55"/>
    </w:p>
    <w:p>
      <w:pPr>
        <w:pStyle w:val="34"/>
        <w:rPr>
          <w:rFonts w:hint="default" w:ascii="Times New Roman" w:hAnsi="Times New Roman" w:cs="Times New Roman"/>
        </w:rPr>
      </w:pPr>
      <w:r>
        <w:rPr>
          <w:rFonts w:hint="default" w:ascii="Times New Roman" w:hAnsi="Times New Roman" w:cs="Times New Roman"/>
        </w:rPr>
        <w:t>项目部应结合工程实际及合同内容建立健全各项管理制度。管理制度包含但不限于以下内容:</w:t>
      </w:r>
    </w:p>
    <w:p>
      <w:pPr>
        <w:pStyle w:val="93"/>
        <w:numPr>
          <w:ilvl w:val="0"/>
          <w:numId w:val="41"/>
        </w:numPr>
        <w:rPr>
          <w:rFonts w:hint="default" w:ascii="Times New Roman" w:hAnsi="Times New Roman" w:cs="Times New Roman"/>
        </w:rPr>
      </w:pPr>
      <w:r>
        <w:rPr>
          <w:rFonts w:hint="default" w:ascii="Times New Roman" w:hAnsi="Times New Roman" w:cs="Times New Roman"/>
        </w:rPr>
        <w:t>安全责任制度：签订安全生产合同或安全责任书，明确安全生产责任、措施、安全生产制度、安全生产组织保证体系、安全操作规程、安全生产措施保证方案等；</w:t>
      </w:r>
    </w:p>
    <w:p>
      <w:pPr>
        <w:pStyle w:val="93"/>
        <w:rPr>
          <w:rFonts w:hint="default" w:ascii="Times New Roman" w:hAnsi="Times New Roman" w:cs="Times New Roman"/>
        </w:rPr>
      </w:pPr>
      <w:r>
        <w:rPr>
          <w:rFonts w:hint="default" w:ascii="Times New Roman" w:hAnsi="Times New Roman" w:cs="Times New Roman"/>
        </w:rPr>
        <w:t>岗位责任制度: 明确各岗位的上岗条件、岗位责任、管理办法等；</w:t>
      </w:r>
    </w:p>
    <w:p>
      <w:pPr>
        <w:pStyle w:val="93"/>
        <w:rPr>
          <w:rFonts w:hint="default" w:ascii="Times New Roman" w:hAnsi="Times New Roman" w:cs="Times New Roman"/>
        </w:rPr>
      </w:pPr>
      <w:r>
        <w:rPr>
          <w:rFonts w:hint="default" w:ascii="Times New Roman" w:hAnsi="Times New Roman" w:cs="Times New Roman"/>
        </w:rPr>
        <w:t>人员培训制度：明确岗位人员培训目标、内容、方式、时间、评估等；</w:t>
      </w:r>
    </w:p>
    <w:p>
      <w:pPr>
        <w:pStyle w:val="93"/>
        <w:rPr>
          <w:rFonts w:hint="default" w:ascii="Times New Roman" w:hAnsi="Times New Roman" w:cs="Times New Roman"/>
        </w:rPr>
      </w:pPr>
      <w:r>
        <w:rPr>
          <w:rFonts w:hint="default" w:ascii="Times New Roman" w:hAnsi="Times New Roman" w:cs="Times New Roman"/>
        </w:rPr>
        <w:t>工程检查制度：根据水工建筑物及设施设备的具体特点，明确工程检查的组织、准备、频次、内容、方法、记录、分析、处理、报告等要求；</w:t>
      </w:r>
    </w:p>
    <w:p>
      <w:pPr>
        <w:pStyle w:val="93"/>
        <w:rPr>
          <w:rFonts w:hint="default" w:ascii="Times New Roman" w:hAnsi="Times New Roman" w:cs="Times New Roman"/>
        </w:rPr>
      </w:pPr>
      <w:r>
        <w:rPr>
          <w:rFonts w:hint="default" w:ascii="Times New Roman" w:hAnsi="Times New Roman" w:cs="Times New Roman"/>
        </w:rPr>
        <w:t>工程监测制度：明确水文观测和工程监测的仪器设备、时间、频次、方法、数据校核与处理、资料整编归档、仪器检查率定、异常分析报告，以及视频监视的时间、频次、信息报送、异常报告、资料保存备份等要求；</w:t>
      </w:r>
    </w:p>
    <w:p>
      <w:pPr>
        <w:pStyle w:val="93"/>
        <w:rPr>
          <w:rFonts w:hint="default" w:ascii="Times New Roman" w:hAnsi="Times New Roman" w:cs="Times New Roman"/>
        </w:rPr>
      </w:pPr>
      <w:r>
        <w:rPr>
          <w:rFonts w:hint="default" w:ascii="Times New Roman" w:hAnsi="Times New Roman" w:cs="Times New Roman"/>
        </w:rPr>
        <w:t>维修养护制度：根据维修养护计划和委托合同的要求，明确日常维护项目的内容、方式、频次，以及维修项目实施的程序、检查、验收等要求；</w:t>
      </w:r>
    </w:p>
    <w:p>
      <w:pPr>
        <w:pStyle w:val="93"/>
        <w:rPr>
          <w:rFonts w:hint="default" w:ascii="Times New Roman" w:hAnsi="Times New Roman" w:cs="Times New Roman"/>
        </w:rPr>
      </w:pPr>
      <w:r>
        <w:rPr>
          <w:rFonts w:hint="default" w:ascii="Times New Roman" w:hAnsi="Times New Roman" w:cs="Times New Roman"/>
        </w:rPr>
        <w:t>泄（放）水操作制度：明确金属结构、机电设备操作的规则、程序、准备、方式、观测、记录、信息报送等要求；</w:t>
      </w:r>
    </w:p>
    <w:p>
      <w:pPr>
        <w:pStyle w:val="93"/>
        <w:rPr>
          <w:rFonts w:hint="default" w:ascii="Times New Roman" w:hAnsi="Times New Roman" w:cs="Times New Roman"/>
        </w:rPr>
      </w:pPr>
      <w:r>
        <w:rPr>
          <w:rFonts w:hint="default" w:ascii="Times New Roman" w:hAnsi="Times New Roman" w:cs="Times New Roman"/>
        </w:rPr>
        <w:t>应急管理制度：建立应急组织体系，编制项目部安全应急预案，加强应急监控和监测，明确应急保障措施，开展应急宣传、培训与演练；</w:t>
      </w:r>
    </w:p>
    <w:p>
      <w:pPr>
        <w:pStyle w:val="93"/>
        <w:rPr>
          <w:rFonts w:hint="default" w:ascii="Times New Roman" w:hAnsi="Times New Roman" w:cs="Times New Roman"/>
        </w:rPr>
      </w:pPr>
      <w:r>
        <w:rPr>
          <w:rFonts w:hint="default" w:ascii="Times New Roman" w:hAnsi="Times New Roman" w:cs="Times New Roman"/>
        </w:rPr>
        <w:t>值班制度：按照汛期 24 小时值班制等规定，明确汛期和非汛期值班的人员安排、工作内容、信息传递、值班记录、交接班手续等要求；</w:t>
      </w:r>
    </w:p>
    <w:p>
      <w:pPr>
        <w:pStyle w:val="93"/>
        <w:rPr>
          <w:rFonts w:hint="default" w:ascii="Times New Roman" w:hAnsi="Times New Roman" w:cs="Times New Roman"/>
        </w:rPr>
      </w:pPr>
      <w:r>
        <w:rPr>
          <w:rFonts w:hint="default" w:ascii="Times New Roman" w:hAnsi="Times New Roman" w:cs="Times New Roman"/>
        </w:rPr>
        <w:t>报告制度：明确管理工作中的重要信息以及检查、观测、监测等工作发现问题或异常等重要事项的内部报告的流程、时限、内容、方式等。</w:t>
      </w:r>
    </w:p>
    <w:p>
      <w:pPr>
        <w:pStyle w:val="93"/>
        <w:rPr>
          <w:rFonts w:hint="default" w:ascii="Times New Roman" w:hAnsi="Times New Roman" w:cs="Times New Roman"/>
        </w:rPr>
      </w:pPr>
      <w:r>
        <w:rPr>
          <w:rFonts w:hint="default" w:ascii="Times New Roman" w:hAnsi="Times New Roman" w:cs="Times New Roman"/>
        </w:rPr>
        <w:t>物资管理制度：按照《浙江省水利防汛物资储备管理办法》的要求，掌握委托方防汛物资储备的种类、数量、分布，并根据物业化服务的需要，明确需补充的物资种类、数量、分布以及储存、保管、更新、调运等要求；</w:t>
      </w:r>
    </w:p>
    <w:p>
      <w:pPr>
        <w:pStyle w:val="93"/>
        <w:rPr>
          <w:rFonts w:hint="default" w:ascii="Times New Roman" w:hAnsi="Times New Roman" w:cs="Times New Roman"/>
        </w:rPr>
      </w:pPr>
      <w:r>
        <w:rPr>
          <w:rFonts w:hint="default" w:ascii="Times New Roman" w:hAnsi="Times New Roman" w:cs="Times New Roman"/>
        </w:rPr>
        <w:t>档案管理制度：结合档案管理有关规定，明确各类档案资料的收集、分类、整编、归档、保存、借阅、归还、数字化、保密等要求；</w:t>
      </w:r>
    </w:p>
    <w:p>
      <w:pPr>
        <w:pStyle w:val="93"/>
        <w:rPr>
          <w:rFonts w:hint="default" w:ascii="Times New Roman" w:hAnsi="Times New Roman" w:cs="Times New Roman"/>
        </w:rPr>
      </w:pPr>
      <w:r>
        <w:rPr>
          <w:rFonts w:hint="default" w:ascii="Times New Roman" w:hAnsi="Times New Roman" w:cs="Times New Roman"/>
        </w:rPr>
        <w:t>内部质量管理制度：明确工程检查、安全监测、维修养护、运行操作等内部质量控制的要求、流程、考核标准等；</w:t>
      </w:r>
    </w:p>
    <w:p>
      <w:pPr>
        <w:pStyle w:val="93"/>
        <w:rPr>
          <w:rFonts w:hint="default" w:ascii="Times New Roman" w:hAnsi="Times New Roman" w:cs="Times New Roman"/>
        </w:rPr>
      </w:pPr>
      <w:r>
        <w:rPr>
          <w:rFonts w:hint="default" w:ascii="Times New Roman" w:hAnsi="Times New Roman" w:cs="Times New Roman"/>
        </w:rPr>
        <w:t>人员信用评价制度：明确评价对象、评价标准、评价方式、信息采集和管理、异议处理、评价运用等。</w:t>
      </w:r>
    </w:p>
    <w:bookmarkEnd w:id="44"/>
    <w:bookmarkEnd w:id="45"/>
    <w:bookmarkEnd w:id="46"/>
    <w:bookmarkEnd w:id="47"/>
    <w:bookmarkEnd w:id="48"/>
    <w:bookmarkEnd w:id="49"/>
    <w:bookmarkEnd w:id="50"/>
    <w:bookmarkEnd w:id="51"/>
    <w:bookmarkEnd w:id="52"/>
    <w:bookmarkEnd w:id="53"/>
    <w:p>
      <w:pPr>
        <w:pStyle w:val="79"/>
        <w:spacing w:before="312" w:after="312"/>
        <w:rPr>
          <w:rFonts w:hint="default" w:ascii="Times New Roman" w:hAnsi="Times New Roman" w:cs="Times New Roman"/>
        </w:rPr>
      </w:pPr>
      <w:bookmarkStart w:id="56" w:name="_Toc163465897"/>
      <w:r>
        <w:rPr>
          <w:rFonts w:hint="default" w:ascii="Times New Roman" w:hAnsi="Times New Roman" w:cs="Times New Roman"/>
        </w:rPr>
        <w:t>检查监测</w:t>
      </w:r>
      <w:bookmarkEnd w:id="56"/>
    </w:p>
    <w:p>
      <w:pPr>
        <w:pStyle w:val="76"/>
        <w:spacing w:before="156" w:after="156"/>
        <w:rPr>
          <w:rFonts w:hint="default" w:ascii="Times New Roman" w:hAnsi="Times New Roman" w:cs="Times New Roman"/>
        </w:rPr>
      </w:pPr>
      <w:bookmarkStart w:id="57" w:name="_Toc443644366"/>
      <w:bookmarkStart w:id="58" w:name="_Toc443593432"/>
      <w:bookmarkStart w:id="59" w:name="_Toc163465898"/>
      <w:bookmarkStart w:id="60" w:name="_Toc442118838"/>
      <w:bookmarkStart w:id="61" w:name="_Toc501612749"/>
      <w:bookmarkStart w:id="62" w:name="_Toc442106033"/>
      <w:bookmarkStart w:id="63" w:name="_Toc443324603"/>
      <w:bookmarkStart w:id="64" w:name="_Toc443555740"/>
      <w:bookmarkStart w:id="65" w:name="_Toc442267755"/>
      <w:bookmarkStart w:id="66" w:name="_Toc493773264"/>
      <w:bookmarkStart w:id="67" w:name="_Toc442267914"/>
      <w:bookmarkStart w:id="68" w:name="_Toc480102937"/>
      <w:bookmarkStart w:id="69" w:name="_Toc443569046"/>
      <w:r>
        <w:rPr>
          <w:rFonts w:hint="default" w:ascii="Times New Roman" w:hAnsi="Times New Roman" w:cs="Times New Roman"/>
        </w:rPr>
        <w:t>工程检查</w:t>
      </w:r>
      <w:bookmarkEnd w:id="57"/>
      <w:bookmarkEnd w:id="58"/>
      <w:bookmarkEnd w:id="59"/>
      <w:bookmarkEnd w:id="60"/>
      <w:bookmarkEnd w:id="61"/>
      <w:bookmarkEnd w:id="62"/>
      <w:bookmarkEnd w:id="63"/>
      <w:bookmarkEnd w:id="64"/>
      <w:bookmarkEnd w:id="65"/>
      <w:bookmarkEnd w:id="66"/>
      <w:bookmarkEnd w:id="67"/>
      <w:bookmarkEnd w:id="68"/>
      <w:bookmarkEnd w:id="69"/>
    </w:p>
    <w:p>
      <w:pPr>
        <w:pStyle w:val="80"/>
        <w:spacing w:before="156" w:after="156"/>
        <w:rPr>
          <w:rFonts w:hint="default" w:ascii="Times New Roman" w:hAnsi="Times New Roman" w:cs="Times New Roman"/>
        </w:rPr>
      </w:pPr>
      <w:bookmarkStart w:id="70" w:name="_Toc11372"/>
      <w:r>
        <w:rPr>
          <w:rFonts w:hint="default" w:ascii="Times New Roman" w:hAnsi="Times New Roman" w:cs="Times New Roman"/>
        </w:rPr>
        <w:t>检查分类</w:t>
      </w:r>
      <w:bookmarkEnd w:id="70"/>
    </w:p>
    <w:p>
      <w:pPr>
        <w:pStyle w:val="34"/>
        <w:rPr>
          <w:rFonts w:hint="default" w:ascii="Times New Roman" w:hAnsi="Times New Roman" w:cs="Times New Roman"/>
        </w:rPr>
      </w:pPr>
      <w:r>
        <w:rPr>
          <w:rFonts w:hint="default" w:ascii="Times New Roman" w:hAnsi="Times New Roman" w:cs="Times New Roman"/>
        </w:rPr>
        <w:t>工程检查分为日常巡查、汛前检查、年度检查和特别检查。</w:t>
      </w:r>
    </w:p>
    <w:p>
      <w:pPr>
        <w:pStyle w:val="80"/>
        <w:spacing w:before="156" w:after="156"/>
        <w:rPr>
          <w:rFonts w:hint="default" w:ascii="Times New Roman" w:hAnsi="Times New Roman" w:cs="Times New Roman"/>
        </w:rPr>
      </w:pPr>
      <w:bookmarkStart w:id="71" w:name="_Toc14385"/>
      <w:r>
        <w:rPr>
          <w:rFonts w:hint="default" w:ascii="Times New Roman" w:hAnsi="Times New Roman" w:cs="Times New Roman"/>
        </w:rPr>
        <w:t>检查组织</w:t>
      </w:r>
      <w:bookmarkEnd w:id="71"/>
    </w:p>
    <w:p>
      <w:pPr>
        <w:pStyle w:val="147"/>
        <w:rPr>
          <w:rFonts w:hint="default" w:ascii="Times New Roman" w:hAnsi="Times New Roman" w:cs="Times New Roman"/>
        </w:rPr>
      </w:pPr>
      <w:r>
        <w:rPr>
          <w:rFonts w:hint="default" w:ascii="Times New Roman" w:hAnsi="Times New Roman" w:cs="Times New Roman"/>
        </w:rPr>
        <w:t>日常巡查由项目部相关岗位人员负责，并应有2 名及以上人员共同开展。</w:t>
      </w:r>
    </w:p>
    <w:p>
      <w:pPr>
        <w:pStyle w:val="147"/>
        <w:rPr>
          <w:rFonts w:hint="default" w:ascii="Times New Roman" w:hAnsi="Times New Roman" w:cs="Times New Roman"/>
        </w:rPr>
      </w:pPr>
      <w:r>
        <w:rPr>
          <w:rFonts w:hint="default" w:ascii="Times New Roman" w:hAnsi="Times New Roman" w:cs="Times New Roman"/>
        </w:rPr>
        <w:t>项目部应制定日常巡查计划，检查计划中应明确检查频次和时间、检查路线、检查内容和重点部位、检查方法和要求等内容。</w:t>
      </w:r>
    </w:p>
    <w:p>
      <w:pPr>
        <w:pStyle w:val="147"/>
        <w:rPr>
          <w:rFonts w:hint="default" w:ascii="Times New Roman" w:hAnsi="Times New Roman" w:cs="Times New Roman"/>
        </w:rPr>
      </w:pPr>
      <w:r>
        <w:rPr>
          <w:rFonts w:hint="default" w:ascii="Times New Roman" w:hAnsi="Times New Roman" w:cs="Times New Roman"/>
        </w:rPr>
        <w:t>汛前检查、年度检查和特别检查由水库主管部门（或所有权人）组织开展，项目部人员参与并提供技术支持。</w:t>
      </w:r>
    </w:p>
    <w:p>
      <w:pPr>
        <w:pStyle w:val="80"/>
        <w:spacing w:before="156" w:after="156"/>
        <w:rPr>
          <w:rFonts w:hint="default" w:ascii="Times New Roman" w:hAnsi="Times New Roman" w:cs="Times New Roman"/>
        </w:rPr>
      </w:pPr>
      <w:bookmarkStart w:id="72" w:name="_Toc13572"/>
      <w:r>
        <w:rPr>
          <w:rFonts w:hint="default" w:ascii="Times New Roman" w:hAnsi="Times New Roman" w:cs="Times New Roman"/>
        </w:rPr>
        <w:t>检查频次（时间）</w:t>
      </w:r>
      <w:bookmarkEnd w:id="72"/>
    </w:p>
    <w:p>
      <w:pPr>
        <w:pStyle w:val="147"/>
        <w:rPr>
          <w:rFonts w:hint="default" w:ascii="Times New Roman" w:hAnsi="Times New Roman" w:cs="Times New Roman"/>
        </w:rPr>
      </w:pPr>
      <w:r>
        <w:rPr>
          <w:rFonts w:hint="default" w:ascii="Times New Roman" w:hAnsi="Times New Roman" w:cs="Times New Roman"/>
        </w:rPr>
        <w:t>日常巡查应按时开展，巡查频次应符合下列要求：</w:t>
      </w:r>
    </w:p>
    <w:p>
      <w:pPr>
        <w:pStyle w:val="93"/>
        <w:numPr>
          <w:ilvl w:val="0"/>
          <w:numId w:val="42"/>
        </w:numPr>
        <w:rPr>
          <w:rFonts w:hint="default" w:ascii="Times New Roman" w:hAnsi="Times New Roman" w:cs="Times New Roman"/>
        </w:rPr>
      </w:pPr>
      <w:r>
        <w:rPr>
          <w:rFonts w:hint="default" w:ascii="Times New Roman" w:hAnsi="Times New Roman" w:cs="Times New Roman"/>
        </w:rPr>
        <w:t>水库初蓄期，每天不少于1 次，并视情况加密巡查；</w:t>
      </w:r>
    </w:p>
    <w:p>
      <w:pPr>
        <w:pStyle w:val="93"/>
        <w:rPr>
          <w:rFonts w:hint="default" w:ascii="Times New Roman" w:hAnsi="Times New Roman" w:cs="Times New Roman"/>
        </w:rPr>
      </w:pPr>
      <w:r>
        <w:rPr>
          <w:rFonts w:hint="default" w:ascii="Times New Roman" w:hAnsi="Times New Roman" w:cs="Times New Roman"/>
        </w:rPr>
        <w:t>水库运行期，根据坝型、运用水位等确定，具体应符合附录B的规定。持续暴雨、洪水、高水位工况下，应驻库巡查；</w:t>
      </w:r>
    </w:p>
    <w:p>
      <w:pPr>
        <w:pStyle w:val="93"/>
        <w:rPr>
          <w:rFonts w:hint="default" w:ascii="Times New Roman" w:hAnsi="Times New Roman" w:cs="Times New Roman"/>
        </w:rPr>
      </w:pPr>
      <w:r>
        <w:rPr>
          <w:rFonts w:hint="default" w:ascii="Times New Roman" w:hAnsi="Times New Roman" w:cs="Times New Roman"/>
        </w:rPr>
        <w:t>水库运行期，闸门、启闭机等金属结构及配套电气设备还应进行日常巡检，巡检频次每月不少于1 次，用于泄洪的设备每10 天～15 天不少于1 次。</w:t>
      </w:r>
    </w:p>
    <w:p>
      <w:pPr>
        <w:pStyle w:val="147"/>
        <w:rPr>
          <w:rFonts w:hint="default" w:ascii="Times New Roman" w:hAnsi="Times New Roman" w:cs="Times New Roman"/>
        </w:rPr>
      </w:pPr>
      <w:r>
        <w:rPr>
          <w:rFonts w:hint="default" w:ascii="Times New Roman" w:hAnsi="Times New Roman" w:cs="Times New Roman"/>
        </w:rPr>
        <w:t>日常巡查可部分采用视频监视或无人机等信息化设备开展远程检查，但应满足日常巡查的相关技术要求，具体方案根据水库实际情况制定。</w:t>
      </w:r>
    </w:p>
    <w:p>
      <w:pPr>
        <w:pStyle w:val="147"/>
        <w:rPr>
          <w:rFonts w:hint="default" w:ascii="Times New Roman" w:hAnsi="Times New Roman" w:cs="Times New Roman"/>
        </w:rPr>
      </w:pPr>
      <w:r>
        <w:rPr>
          <w:rFonts w:hint="default" w:ascii="Times New Roman" w:hAnsi="Times New Roman" w:cs="Times New Roman"/>
        </w:rPr>
        <w:t>汛前检查应于当年3 月31 日前完成。年度检查应于当年汛期结束以后、12 月15 日之前完成。</w:t>
      </w:r>
    </w:p>
    <w:p>
      <w:pPr>
        <w:pStyle w:val="147"/>
        <w:rPr>
          <w:rFonts w:hint="default" w:ascii="Times New Roman" w:hAnsi="Times New Roman" w:cs="Times New Roman"/>
        </w:rPr>
      </w:pPr>
      <w:r>
        <w:rPr>
          <w:rFonts w:hint="default" w:ascii="Times New Roman" w:hAnsi="Times New Roman" w:cs="Times New Roman"/>
        </w:rPr>
        <w:t>在发生特别运用工况后，应立即开展特别检查。特别运用工况主要指：</w:t>
      </w:r>
    </w:p>
    <w:p>
      <w:pPr>
        <w:pStyle w:val="93"/>
        <w:numPr>
          <w:ilvl w:val="0"/>
          <w:numId w:val="43"/>
        </w:numPr>
        <w:rPr>
          <w:rFonts w:hint="default" w:ascii="Times New Roman" w:hAnsi="Times New Roman" w:cs="Times New Roman"/>
        </w:rPr>
      </w:pPr>
      <w:r>
        <w:rPr>
          <w:rFonts w:hint="default" w:ascii="Times New Roman" w:hAnsi="Times New Roman" w:cs="Times New Roman"/>
        </w:rPr>
        <w:t>库水位暴涨暴落或接近历史最高水位、设计洪水位、设计死水位，或者水库持续高水位运行；</w:t>
      </w:r>
      <w:bookmarkStart w:id="73" w:name="_Toc11415"/>
    </w:p>
    <w:p>
      <w:pPr>
        <w:pStyle w:val="93"/>
        <w:rPr>
          <w:rFonts w:hint="default" w:ascii="Times New Roman" w:hAnsi="Times New Roman" w:cs="Times New Roman"/>
        </w:rPr>
      </w:pPr>
      <w:r>
        <w:rPr>
          <w:rFonts w:hint="default" w:ascii="Times New Roman" w:hAnsi="Times New Roman" w:cs="Times New Roman"/>
        </w:rPr>
        <w:t>当遭遇4.0 级以上地震事件时，水库大坝处于表1 规定的影响区范围以内时；</w:t>
      </w:r>
    </w:p>
    <w:p>
      <w:pPr>
        <w:pStyle w:val="93"/>
        <w:rPr>
          <w:rFonts w:hint="default" w:ascii="Times New Roman" w:hAnsi="Times New Roman" w:cs="Times New Roman"/>
        </w:rPr>
      </w:pPr>
      <w:r>
        <w:rPr>
          <w:rFonts w:hint="default" w:ascii="Times New Roman" w:hAnsi="Times New Roman" w:cs="Times New Roman"/>
        </w:rPr>
        <w:t>发生险情；</w:t>
      </w:r>
    </w:p>
    <w:p>
      <w:pPr>
        <w:pStyle w:val="93"/>
        <w:rPr>
          <w:rFonts w:hint="default" w:ascii="Times New Roman" w:hAnsi="Times New Roman" w:cs="Times New Roman"/>
        </w:rPr>
      </w:pPr>
      <w:r>
        <w:rPr>
          <w:rFonts w:hint="default" w:ascii="Times New Roman" w:hAnsi="Times New Roman" w:cs="Times New Roman"/>
        </w:rPr>
        <w:t>其他可能影响工程安全运行的情况。</w:t>
      </w:r>
    </w:p>
    <w:p>
      <w:pPr>
        <w:jc w:val="center"/>
        <w:rPr>
          <w:rFonts w:hint="default" w:ascii="Times New Roman" w:hAnsi="Times New Roman" w:cs="Times New Roman"/>
        </w:rPr>
      </w:pPr>
      <w:r>
        <w:rPr>
          <w:rFonts w:hint="default" w:ascii="Times New Roman" w:hAnsi="Times New Roman" w:cs="Times New Roman"/>
        </w:rPr>
        <w:t>表1  震后影响区范围估计对照表</w:t>
      </w:r>
    </w:p>
    <w:tbl>
      <w:tblPr>
        <w:tblStyle w:val="46"/>
        <w:tblW w:w="854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0"/>
        <w:gridCol w:w="1529"/>
        <w:gridCol w:w="1553"/>
        <w:gridCol w:w="1517"/>
        <w:gridCol w:w="1517"/>
        <w:gridCol w:w="15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10"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序号</w:t>
            </w:r>
          </w:p>
        </w:tc>
        <w:tc>
          <w:tcPr>
            <w:tcW w:w="1529"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震级</w:t>
            </w:r>
          </w:p>
        </w:tc>
        <w:tc>
          <w:tcPr>
            <w:tcW w:w="1553"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震中距离（km）</w:t>
            </w:r>
          </w:p>
        </w:tc>
        <w:tc>
          <w:tcPr>
            <w:tcW w:w="1517"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序号</w:t>
            </w:r>
          </w:p>
        </w:tc>
        <w:tc>
          <w:tcPr>
            <w:tcW w:w="1517"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震级</w:t>
            </w:r>
          </w:p>
        </w:tc>
        <w:tc>
          <w:tcPr>
            <w:tcW w:w="1518"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震中距离（km）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10"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1</w:t>
            </w:r>
          </w:p>
        </w:tc>
        <w:tc>
          <w:tcPr>
            <w:tcW w:w="1529"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＞4.0</w:t>
            </w:r>
          </w:p>
        </w:tc>
        <w:tc>
          <w:tcPr>
            <w:tcW w:w="1553"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50</w:t>
            </w:r>
          </w:p>
        </w:tc>
        <w:tc>
          <w:tcPr>
            <w:tcW w:w="1517"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4</w:t>
            </w:r>
          </w:p>
        </w:tc>
        <w:tc>
          <w:tcPr>
            <w:tcW w:w="1517"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＞7.0</w:t>
            </w:r>
          </w:p>
        </w:tc>
        <w:tc>
          <w:tcPr>
            <w:tcW w:w="1518"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10"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2</w:t>
            </w:r>
          </w:p>
        </w:tc>
        <w:tc>
          <w:tcPr>
            <w:tcW w:w="1529"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＞5.0</w:t>
            </w:r>
          </w:p>
        </w:tc>
        <w:tc>
          <w:tcPr>
            <w:tcW w:w="1553"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75</w:t>
            </w:r>
          </w:p>
        </w:tc>
        <w:tc>
          <w:tcPr>
            <w:tcW w:w="1517"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5</w:t>
            </w:r>
          </w:p>
        </w:tc>
        <w:tc>
          <w:tcPr>
            <w:tcW w:w="1517"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＞8.0</w:t>
            </w:r>
          </w:p>
        </w:tc>
        <w:tc>
          <w:tcPr>
            <w:tcW w:w="1518"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250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10"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3</w:t>
            </w:r>
          </w:p>
        </w:tc>
        <w:tc>
          <w:tcPr>
            <w:tcW w:w="1529"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＞6.0</w:t>
            </w:r>
          </w:p>
        </w:tc>
        <w:tc>
          <w:tcPr>
            <w:tcW w:w="1553"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100</w:t>
            </w:r>
          </w:p>
        </w:tc>
        <w:tc>
          <w:tcPr>
            <w:tcW w:w="1517" w:type="dxa"/>
            <w:vAlign w:val="center"/>
          </w:tcPr>
          <w:p>
            <w:pPr>
              <w:jc w:val="center"/>
              <w:rPr>
                <w:rFonts w:hint="default" w:ascii="Times New Roman" w:hAnsi="Times New Roman" w:cs="Times New Roman"/>
                <w:sz w:val="21"/>
                <w:szCs w:val="21"/>
              </w:rPr>
            </w:pPr>
          </w:p>
        </w:tc>
        <w:tc>
          <w:tcPr>
            <w:tcW w:w="1517" w:type="dxa"/>
            <w:vAlign w:val="center"/>
          </w:tcPr>
          <w:p>
            <w:pPr>
              <w:jc w:val="center"/>
              <w:rPr>
                <w:rFonts w:hint="default" w:ascii="Times New Roman" w:hAnsi="Times New Roman" w:cs="Times New Roman"/>
                <w:sz w:val="21"/>
                <w:szCs w:val="21"/>
              </w:rPr>
            </w:pPr>
          </w:p>
        </w:tc>
        <w:tc>
          <w:tcPr>
            <w:tcW w:w="1518" w:type="dxa"/>
            <w:vAlign w:val="center"/>
          </w:tcPr>
          <w:p>
            <w:pPr>
              <w:jc w:val="center"/>
              <w:rPr>
                <w:rFonts w:hint="default" w:ascii="Times New Roman" w:hAnsi="Times New Roman" w:cs="Times New Roman"/>
                <w:sz w:val="21"/>
                <w:szCs w:val="21"/>
              </w:rPr>
            </w:pPr>
          </w:p>
        </w:tc>
      </w:tr>
    </w:tbl>
    <w:p>
      <w:pPr>
        <w:pStyle w:val="80"/>
        <w:spacing w:before="156" w:after="156"/>
        <w:rPr>
          <w:rFonts w:hint="default" w:ascii="Times New Roman" w:hAnsi="Times New Roman" w:cs="Times New Roman"/>
        </w:rPr>
      </w:pPr>
      <w:r>
        <w:rPr>
          <w:rFonts w:hint="default" w:ascii="Times New Roman" w:hAnsi="Times New Roman" w:cs="Times New Roman"/>
        </w:rPr>
        <w:t>检查内容</w:t>
      </w:r>
      <w:bookmarkEnd w:id="73"/>
    </w:p>
    <w:p>
      <w:pPr>
        <w:pStyle w:val="147"/>
        <w:rPr>
          <w:rFonts w:hint="default" w:ascii="Times New Roman" w:hAnsi="Times New Roman" w:cs="Times New Roman"/>
        </w:rPr>
      </w:pPr>
      <w:r>
        <w:rPr>
          <w:rFonts w:hint="default" w:ascii="Times New Roman" w:hAnsi="Times New Roman" w:cs="Times New Roman"/>
        </w:rPr>
        <w:t>日常巡查内容包括水工建筑物、安全监测设施、近坝库岸、闸门、启闭机等金属结构及配套电气设备、附属管理设施、白蚁及其他动物危害等。具体巡查内容可参照SL 551、SL 601和附录C。</w:t>
      </w:r>
    </w:p>
    <w:p>
      <w:pPr>
        <w:pStyle w:val="147"/>
        <w:rPr>
          <w:rFonts w:hint="default" w:ascii="Times New Roman" w:hAnsi="Times New Roman" w:cs="Times New Roman"/>
        </w:rPr>
      </w:pPr>
      <w:r>
        <w:rPr>
          <w:rFonts w:hint="default" w:ascii="Times New Roman" w:hAnsi="Times New Roman" w:cs="Times New Roman"/>
        </w:rPr>
        <w:t>汛前检查除日常巡查内容外，还应包括以下内容：</w:t>
      </w:r>
    </w:p>
    <w:p>
      <w:pPr>
        <w:pStyle w:val="93"/>
        <w:numPr>
          <w:ilvl w:val="0"/>
          <w:numId w:val="44"/>
        </w:numPr>
        <w:rPr>
          <w:rFonts w:hint="default" w:ascii="Times New Roman" w:hAnsi="Times New Roman" w:cs="Times New Roman"/>
        </w:rPr>
      </w:pPr>
      <w:r>
        <w:rPr>
          <w:rFonts w:hint="default" w:ascii="Times New Roman" w:hAnsi="Times New Roman" w:cs="Times New Roman"/>
        </w:rPr>
        <w:t>工程维修养护情况，包括上一次年度检查发现问题的维修、处理等情况；</w:t>
      </w:r>
    </w:p>
    <w:p>
      <w:pPr>
        <w:pStyle w:val="93"/>
        <w:rPr>
          <w:rFonts w:hint="default" w:ascii="Times New Roman" w:hAnsi="Times New Roman" w:cs="Times New Roman"/>
        </w:rPr>
      </w:pPr>
      <w:r>
        <w:rPr>
          <w:rFonts w:hint="default" w:ascii="Times New Roman" w:hAnsi="Times New Roman" w:cs="Times New Roman"/>
        </w:rPr>
        <w:t>土石坝水库白蚁及其他动物危害及防治情况；</w:t>
      </w:r>
    </w:p>
    <w:p>
      <w:pPr>
        <w:pStyle w:val="93"/>
        <w:rPr>
          <w:rFonts w:hint="default" w:ascii="Times New Roman" w:hAnsi="Times New Roman" w:cs="Times New Roman"/>
        </w:rPr>
      </w:pPr>
      <w:r>
        <w:rPr>
          <w:rFonts w:hint="default" w:ascii="Times New Roman" w:hAnsi="Times New Roman" w:cs="Times New Roman"/>
        </w:rPr>
        <w:t>泄洪设施、电气设备的安全状况，闸门与启闭设备的保养维护、试运行等情况；</w:t>
      </w:r>
    </w:p>
    <w:p>
      <w:pPr>
        <w:pStyle w:val="93"/>
        <w:rPr>
          <w:rFonts w:hint="default" w:ascii="Times New Roman" w:hAnsi="Times New Roman" w:cs="Times New Roman"/>
        </w:rPr>
      </w:pPr>
      <w:r>
        <w:rPr>
          <w:rFonts w:hint="default" w:ascii="Times New Roman" w:hAnsi="Times New Roman" w:cs="Times New Roman"/>
        </w:rPr>
        <w:t>备用电源的保养维护、试运行情况，防汛物资的储备情况；</w:t>
      </w:r>
    </w:p>
    <w:p>
      <w:pPr>
        <w:pStyle w:val="93"/>
        <w:rPr>
          <w:rFonts w:hint="default" w:ascii="Times New Roman" w:hAnsi="Times New Roman" w:cs="Times New Roman"/>
        </w:rPr>
      </w:pPr>
      <w:r>
        <w:rPr>
          <w:rFonts w:hint="default" w:ascii="Times New Roman" w:hAnsi="Times New Roman" w:cs="Times New Roman"/>
        </w:rPr>
        <w:t>防汛值班、水文监测、水库调度、应急管理等人员的落实情况。</w:t>
      </w:r>
    </w:p>
    <w:p>
      <w:pPr>
        <w:pStyle w:val="147"/>
        <w:rPr>
          <w:rFonts w:hint="default" w:ascii="Times New Roman" w:hAnsi="Times New Roman" w:cs="Times New Roman"/>
        </w:rPr>
      </w:pPr>
      <w:r>
        <w:rPr>
          <w:rFonts w:hint="default" w:ascii="Times New Roman" w:hAnsi="Times New Roman" w:cs="Times New Roman"/>
        </w:rPr>
        <w:t>年度检查除日常巡查内容外，还应包括以下内容：</w:t>
      </w:r>
    </w:p>
    <w:p>
      <w:pPr>
        <w:pStyle w:val="93"/>
        <w:numPr>
          <w:ilvl w:val="0"/>
          <w:numId w:val="45"/>
        </w:numPr>
        <w:rPr>
          <w:rFonts w:hint="default" w:ascii="Times New Roman" w:hAnsi="Times New Roman" w:cs="Times New Roman"/>
        </w:rPr>
      </w:pPr>
      <w:r>
        <w:rPr>
          <w:rFonts w:hint="default" w:ascii="Times New Roman" w:hAnsi="Times New Roman" w:cs="Times New Roman"/>
        </w:rPr>
        <w:t>安全监测资料年度整编分析，对当年汛期运行情况分析评价，提出下一年度维修养护建议；</w:t>
      </w:r>
    </w:p>
    <w:p>
      <w:pPr>
        <w:pStyle w:val="93"/>
        <w:rPr>
          <w:rFonts w:hint="default" w:ascii="Times New Roman" w:hAnsi="Times New Roman" w:cs="Times New Roman"/>
        </w:rPr>
      </w:pPr>
      <w:r>
        <w:rPr>
          <w:rFonts w:hint="default" w:ascii="Times New Roman" w:hAnsi="Times New Roman" w:cs="Times New Roman"/>
        </w:rPr>
        <w:t>溢洪道消力池、大坝下游冲坑一般每3 年～5 年全面检查1 次，如发生历史最大泄洪流量的，泄洪后应立即进行全面检查；</w:t>
      </w:r>
    </w:p>
    <w:p>
      <w:pPr>
        <w:pStyle w:val="93"/>
        <w:rPr>
          <w:rFonts w:hint="default" w:ascii="Times New Roman" w:hAnsi="Times New Roman" w:cs="Times New Roman"/>
        </w:rPr>
      </w:pPr>
      <w:r>
        <w:rPr>
          <w:rFonts w:hint="default" w:ascii="Times New Roman" w:hAnsi="Times New Roman" w:cs="Times New Roman"/>
        </w:rPr>
        <w:t>各类输（引、放）水洞（管）内部根据检查条件确定，一般每3 年～5 年全面检查1 次；</w:t>
      </w:r>
    </w:p>
    <w:p>
      <w:pPr>
        <w:pStyle w:val="93"/>
        <w:rPr>
          <w:rFonts w:hint="default" w:ascii="Times New Roman" w:hAnsi="Times New Roman" w:cs="Times New Roman"/>
        </w:rPr>
      </w:pPr>
      <w:r>
        <w:rPr>
          <w:rFonts w:hint="default" w:ascii="Times New Roman" w:hAnsi="Times New Roman" w:cs="Times New Roman"/>
        </w:rPr>
        <w:t>金属结构、启闭设施及电气设备一般在投入运行后的5 年内检测1 次，以后每隔6 年～10 年检测1 次，检测工作应符合SL 101规定。</w:t>
      </w:r>
    </w:p>
    <w:p>
      <w:pPr>
        <w:pStyle w:val="147"/>
        <w:rPr>
          <w:rFonts w:hint="default" w:ascii="Times New Roman" w:hAnsi="Times New Roman" w:cs="Times New Roman"/>
        </w:rPr>
      </w:pPr>
      <w:r>
        <w:rPr>
          <w:rFonts w:hint="default" w:ascii="Times New Roman" w:hAnsi="Times New Roman" w:cs="Times New Roman"/>
        </w:rPr>
        <w:t>特别检查应在对工程全面检查的基础上，重点检查损坏部位及周边范围。</w:t>
      </w:r>
    </w:p>
    <w:p>
      <w:pPr>
        <w:pStyle w:val="80"/>
        <w:spacing w:before="156" w:after="156"/>
        <w:rPr>
          <w:rFonts w:hint="default" w:ascii="Times New Roman" w:hAnsi="Times New Roman" w:cs="Times New Roman"/>
        </w:rPr>
      </w:pPr>
      <w:bookmarkStart w:id="74" w:name="_Toc20582"/>
      <w:r>
        <w:rPr>
          <w:rFonts w:hint="default" w:ascii="Times New Roman" w:hAnsi="Times New Roman" w:cs="Times New Roman"/>
        </w:rPr>
        <w:t>检查方法和要求</w:t>
      </w:r>
      <w:bookmarkEnd w:id="74"/>
    </w:p>
    <w:p>
      <w:pPr>
        <w:pStyle w:val="147"/>
        <w:rPr>
          <w:rFonts w:hint="default" w:ascii="Times New Roman" w:hAnsi="Times New Roman" w:cs="Times New Roman"/>
        </w:rPr>
      </w:pPr>
      <w:r>
        <w:rPr>
          <w:rFonts w:hint="default" w:ascii="Times New Roman" w:hAnsi="Times New Roman" w:cs="Times New Roman"/>
        </w:rPr>
        <w:t>常规检查方法包括眼看、耳听、手摸、鼻嗅、脚踩等直观方法，或辅以锤、钎、钢卷尺、放大镜、石蕊试纸等简单工具器材，对工程表面和异常现象进行检查。已安装的视频监视系统或配备的无人机等信息化设备可作为辅助手段。特殊检查方法包括勘探、化学示踪、水下摄像等。闸门、启闭机等金属结构及配套电气设备的日常巡检，除外观检查外，还应采用通电测试或试运行等方式进行。</w:t>
      </w:r>
    </w:p>
    <w:p>
      <w:pPr>
        <w:pStyle w:val="147"/>
        <w:rPr>
          <w:rFonts w:hint="default" w:ascii="Times New Roman" w:hAnsi="Times New Roman" w:cs="Times New Roman"/>
        </w:rPr>
      </w:pPr>
      <w:r>
        <w:rPr>
          <w:rFonts w:hint="default" w:ascii="Times New Roman" w:hAnsi="Times New Roman" w:cs="Times New Roman"/>
        </w:rPr>
        <w:t>检查工作应有明确的检查方案或检查线路，检查人员应掌握各检查项目的安全及技术标准。</w:t>
      </w:r>
    </w:p>
    <w:p>
      <w:pPr>
        <w:pStyle w:val="147"/>
        <w:rPr>
          <w:rFonts w:hint="default" w:ascii="Times New Roman" w:hAnsi="Times New Roman" w:cs="Times New Roman"/>
        </w:rPr>
      </w:pPr>
      <w:r>
        <w:rPr>
          <w:rFonts w:hint="default" w:ascii="Times New Roman" w:hAnsi="Times New Roman" w:cs="Times New Roman"/>
        </w:rPr>
        <w:t>检查前，检查人员应准备检查记录、照明、量测、照相、摄像等工具器材及必要的安全防护设备与措施。</w:t>
      </w:r>
    </w:p>
    <w:p>
      <w:pPr>
        <w:pStyle w:val="80"/>
        <w:spacing w:before="156" w:after="156"/>
        <w:rPr>
          <w:rFonts w:hint="default" w:ascii="Times New Roman" w:hAnsi="Times New Roman" w:cs="Times New Roman"/>
        </w:rPr>
      </w:pPr>
      <w:bookmarkStart w:id="75" w:name="_Toc1876"/>
      <w:r>
        <w:rPr>
          <w:rFonts w:hint="default" w:ascii="Times New Roman" w:hAnsi="Times New Roman" w:cs="Times New Roman"/>
        </w:rPr>
        <w:t>检查记录</w:t>
      </w:r>
      <w:bookmarkEnd w:id="75"/>
    </w:p>
    <w:p>
      <w:pPr>
        <w:pStyle w:val="147"/>
        <w:rPr>
          <w:rFonts w:hint="default" w:ascii="Times New Roman" w:hAnsi="Times New Roman" w:cs="Times New Roman"/>
        </w:rPr>
      </w:pPr>
      <w:r>
        <w:rPr>
          <w:rFonts w:hint="default" w:ascii="Times New Roman" w:hAnsi="Times New Roman" w:cs="Times New Roman"/>
        </w:rPr>
        <w:t>检查记录可采用人工纸质记录或信息化设备电子记录。</w:t>
      </w:r>
    </w:p>
    <w:p>
      <w:pPr>
        <w:pStyle w:val="147"/>
        <w:rPr>
          <w:rFonts w:hint="default" w:ascii="Times New Roman" w:hAnsi="Times New Roman" w:cs="Times New Roman"/>
        </w:rPr>
      </w:pPr>
      <w:r>
        <w:rPr>
          <w:rFonts w:hint="default" w:ascii="Times New Roman" w:hAnsi="Times New Roman" w:cs="Times New Roman"/>
        </w:rPr>
        <w:t>检查人员应当场逐项填写现场检查记录，不得遗漏。纸质检查记录应当场签名；采用信息化设备进行检查记录的，应及时保存并做好电子签名。</w:t>
      </w:r>
    </w:p>
    <w:p>
      <w:pPr>
        <w:pStyle w:val="147"/>
        <w:rPr>
          <w:rFonts w:hint="default" w:ascii="Times New Roman" w:hAnsi="Times New Roman" w:cs="Times New Roman"/>
        </w:rPr>
      </w:pPr>
      <w:r>
        <w:rPr>
          <w:rFonts w:hint="default" w:ascii="Times New Roman" w:hAnsi="Times New Roman" w:cs="Times New Roman"/>
        </w:rPr>
        <w:t>检查发现缺陷或异常等情况时，应有人工纸质记录并有详细的情况说明，必要时拍摄现场照片或录像。</w:t>
      </w:r>
    </w:p>
    <w:p>
      <w:pPr>
        <w:pStyle w:val="147"/>
        <w:rPr>
          <w:rFonts w:hint="default" w:ascii="Times New Roman" w:hAnsi="Times New Roman" w:cs="Times New Roman"/>
        </w:rPr>
      </w:pPr>
      <w:r>
        <w:rPr>
          <w:rFonts w:hint="default" w:ascii="Times New Roman" w:hAnsi="Times New Roman" w:cs="Times New Roman"/>
        </w:rPr>
        <w:t>日常巡查、汛前检查、年度检查记录可参照附录D、附录E，也可根据水库的实际进行优化。</w:t>
      </w:r>
    </w:p>
    <w:p>
      <w:pPr>
        <w:pStyle w:val="147"/>
        <w:rPr>
          <w:rFonts w:hint="default" w:ascii="Times New Roman" w:hAnsi="Times New Roman" w:cs="Times New Roman"/>
        </w:rPr>
      </w:pPr>
      <w:r>
        <w:rPr>
          <w:rFonts w:hint="default" w:ascii="Times New Roman" w:hAnsi="Times New Roman" w:cs="Times New Roman"/>
        </w:rPr>
        <w:t>现场检查记录、检查报告、问题或异常的处理与验收等资料应定期归档。</w:t>
      </w:r>
    </w:p>
    <w:p>
      <w:pPr>
        <w:pStyle w:val="80"/>
        <w:spacing w:before="156" w:after="156"/>
        <w:rPr>
          <w:rFonts w:hint="default" w:ascii="Times New Roman" w:hAnsi="Times New Roman" w:cs="Times New Roman"/>
        </w:rPr>
      </w:pPr>
      <w:bookmarkStart w:id="76" w:name="_Toc30127"/>
      <w:r>
        <w:rPr>
          <w:rFonts w:hint="default" w:ascii="Times New Roman" w:hAnsi="Times New Roman" w:cs="Times New Roman"/>
        </w:rPr>
        <w:t>隐患处理</w:t>
      </w:r>
      <w:bookmarkEnd w:id="76"/>
    </w:p>
    <w:p>
      <w:pPr>
        <w:pStyle w:val="147"/>
        <w:rPr>
          <w:rFonts w:hint="default" w:ascii="Times New Roman" w:hAnsi="Times New Roman" w:cs="Times New Roman"/>
        </w:rPr>
      </w:pPr>
      <w:r>
        <w:rPr>
          <w:rFonts w:hint="default" w:ascii="Times New Roman" w:hAnsi="Times New Roman" w:cs="Times New Roman"/>
        </w:rPr>
        <w:t>日常巡查发现的隐患，应按制度要求及时逐级报告，并组织分析判断可能产生的不利影响，及时落实相应处理措施。</w:t>
      </w:r>
    </w:p>
    <w:p>
      <w:pPr>
        <w:pStyle w:val="147"/>
        <w:rPr>
          <w:rFonts w:hint="default" w:ascii="Times New Roman" w:hAnsi="Times New Roman" w:cs="Times New Roman"/>
        </w:rPr>
      </w:pPr>
      <w:r>
        <w:rPr>
          <w:rFonts w:hint="default" w:ascii="Times New Roman" w:hAnsi="Times New Roman" w:cs="Times New Roman"/>
        </w:rPr>
        <w:t>针对水库存在的隐患和缺陷，应限时组织完成工程缺陷和隐患的处理，汛前检查发现的缺陷和隐患，一般应在当年主汛期之前完成处理；年度检查发现的缺陷和隐患，一般应在次年汛期之前完成处理。</w:t>
      </w:r>
    </w:p>
    <w:p>
      <w:pPr>
        <w:pStyle w:val="76"/>
        <w:spacing w:before="156" w:after="156"/>
        <w:rPr>
          <w:rFonts w:hint="default" w:ascii="Times New Roman" w:hAnsi="Times New Roman" w:cs="Times New Roman"/>
        </w:rPr>
      </w:pPr>
      <w:bookmarkStart w:id="77" w:name="_Toc163465899"/>
      <w:r>
        <w:rPr>
          <w:rFonts w:hint="default" w:ascii="Times New Roman" w:hAnsi="Times New Roman" w:cs="Times New Roman"/>
        </w:rPr>
        <w:t>安全监测</w:t>
      </w:r>
      <w:bookmarkEnd w:id="77"/>
    </w:p>
    <w:p>
      <w:pPr>
        <w:pStyle w:val="97"/>
        <w:rPr>
          <w:rFonts w:hint="default" w:ascii="Times New Roman" w:hAnsi="Times New Roman" w:cs="Times New Roman"/>
        </w:rPr>
      </w:pPr>
      <w:r>
        <w:rPr>
          <w:rFonts w:hint="default" w:ascii="Times New Roman" w:hAnsi="Times New Roman" w:cs="Times New Roman"/>
        </w:rPr>
        <w:t>水位、雨量、气温等环境量监测应符合GB/T 50138、SL 21、SL 61及附录F的相关规定。</w:t>
      </w:r>
    </w:p>
    <w:p>
      <w:pPr>
        <w:pStyle w:val="97"/>
        <w:rPr>
          <w:rFonts w:hint="default" w:ascii="Times New Roman" w:hAnsi="Times New Roman" w:cs="Times New Roman"/>
        </w:rPr>
      </w:pPr>
      <w:r>
        <w:rPr>
          <w:rFonts w:hint="default" w:ascii="Times New Roman" w:hAnsi="Times New Roman" w:cs="Times New Roman"/>
        </w:rPr>
        <w:t>工程监测应遵循人员、仪器、时间、频次“四固定”原则。人工监测精度应符合SL 551、SL 601、SL 725的规定；人工监测频次应符合附录F的规定，并应满足以下要求：</w:t>
      </w:r>
    </w:p>
    <w:p>
      <w:pPr>
        <w:pStyle w:val="93"/>
        <w:numPr>
          <w:ilvl w:val="0"/>
          <w:numId w:val="46"/>
        </w:numPr>
        <w:rPr>
          <w:rFonts w:hint="default" w:ascii="Times New Roman" w:hAnsi="Times New Roman" w:cs="Times New Roman"/>
        </w:rPr>
      </w:pPr>
      <w:r>
        <w:rPr>
          <w:rFonts w:hint="default" w:ascii="Times New Roman" w:hAnsi="Times New Roman" w:cs="Times New Roman"/>
        </w:rPr>
        <w:t>初蓄期，水库在蓄水时，监测频次宜取上限值；完成蓄水后的相对稳定期可取下限值；</w:t>
      </w:r>
    </w:p>
    <w:p>
      <w:pPr>
        <w:pStyle w:val="93"/>
        <w:rPr>
          <w:rFonts w:hint="default" w:ascii="Times New Roman" w:hAnsi="Times New Roman" w:cs="Times New Roman"/>
        </w:rPr>
      </w:pPr>
      <w:r>
        <w:rPr>
          <w:rFonts w:hint="default" w:ascii="Times New Roman" w:hAnsi="Times New Roman" w:cs="Times New Roman"/>
        </w:rPr>
        <w:t>运行期，渗流、变形等性态变化速率大时，监测频次宜取上限值；</w:t>
      </w:r>
    </w:p>
    <w:p>
      <w:pPr>
        <w:pStyle w:val="93"/>
        <w:rPr>
          <w:rFonts w:hint="default" w:ascii="Times New Roman" w:hAnsi="Times New Roman" w:cs="Times New Roman"/>
        </w:rPr>
      </w:pPr>
      <w:r>
        <w:rPr>
          <w:rFonts w:hint="default" w:ascii="Times New Roman" w:hAnsi="Times New Roman" w:cs="Times New Roman"/>
        </w:rPr>
        <w:t>水库遭遇特别运用工况时，应增加监测频次。</w:t>
      </w:r>
    </w:p>
    <w:p>
      <w:pPr>
        <w:pStyle w:val="97"/>
        <w:rPr>
          <w:rFonts w:hint="default" w:ascii="Times New Roman" w:hAnsi="Times New Roman" w:cs="Times New Roman"/>
        </w:rPr>
      </w:pPr>
      <w:r>
        <w:rPr>
          <w:rFonts w:hint="default" w:ascii="Times New Roman" w:hAnsi="Times New Roman" w:cs="Times New Roman"/>
        </w:rPr>
        <w:t>每次监测应与前期监测成果进行对比分析，发现异常应立即复测并进行初步分析。</w:t>
      </w:r>
    </w:p>
    <w:p>
      <w:pPr>
        <w:pStyle w:val="97"/>
        <w:rPr>
          <w:rFonts w:hint="default" w:ascii="Times New Roman" w:hAnsi="Times New Roman" w:cs="Times New Roman"/>
        </w:rPr>
      </w:pPr>
      <w:r>
        <w:rPr>
          <w:rFonts w:hint="default" w:ascii="Times New Roman" w:hAnsi="Times New Roman" w:cs="Times New Roman"/>
        </w:rPr>
        <w:t>人工监测原始记录、整理核对成果等，经技术总负责人签字后，及时归档，同时应录入电子文档。</w:t>
      </w:r>
    </w:p>
    <w:p>
      <w:pPr>
        <w:pStyle w:val="97"/>
        <w:rPr>
          <w:rFonts w:hint="default" w:ascii="Times New Roman" w:hAnsi="Times New Roman" w:cs="Times New Roman"/>
        </w:rPr>
      </w:pPr>
      <w:r>
        <w:rPr>
          <w:rFonts w:hint="default" w:ascii="Times New Roman" w:hAnsi="Times New Roman" w:cs="Times New Roman"/>
        </w:rPr>
        <w:t>自动化监测应每天不少于1 次。监测数据备份宜每3 个月不少于1 次。自动化监测仪器每年应至少进行1 次人工比测、校正和校准。</w:t>
      </w:r>
    </w:p>
    <w:p>
      <w:pPr>
        <w:pStyle w:val="97"/>
        <w:rPr>
          <w:rFonts w:hint="default" w:ascii="Times New Roman" w:hAnsi="Times New Roman" w:cs="Times New Roman"/>
        </w:rPr>
      </w:pPr>
      <w:r>
        <w:rPr>
          <w:rFonts w:hint="default" w:ascii="Times New Roman" w:hAnsi="Times New Roman" w:cs="Times New Roman"/>
        </w:rPr>
        <w:t>工程监测资料应每年进行1 次整编分析，每5 年至少进行1 次系统整编分析，整编分析成果应符合SL 551、SL 601的规定。</w:t>
      </w:r>
    </w:p>
    <w:p>
      <w:pPr>
        <w:pStyle w:val="97"/>
        <w:rPr>
          <w:rFonts w:hint="default" w:ascii="Times New Roman" w:hAnsi="Times New Roman" w:cs="Times New Roman"/>
        </w:rPr>
      </w:pPr>
      <w:r>
        <w:rPr>
          <w:rFonts w:hint="default" w:ascii="Times New Roman" w:hAnsi="Times New Roman" w:cs="Times New Roman"/>
        </w:rPr>
        <w:t>工程监测资料整编分析中发现异常情况时，应组织专业技术人员进行分析，查明原因，及时采取措施并做好记录。一时难以查明原因或工程已出现异常的，应及时向委托方报告并采取相应措施。</w:t>
      </w:r>
    </w:p>
    <w:p>
      <w:pPr>
        <w:pStyle w:val="97"/>
        <w:rPr>
          <w:rFonts w:hint="default" w:ascii="Times New Roman" w:hAnsi="Times New Roman" w:cs="Times New Roman"/>
        </w:rPr>
      </w:pPr>
      <w:r>
        <w:rPr>
          <w:rFonts w:hint="default" w:ascii="Times New Roman" w:hAnsi="Times New Roman" w:cs="Times New Roman"/>
        </w:rPr>
        <w:t>自动化监测仪器及设备故障时，要及时修复或更新，故障期间，应参照附录F 要求的频次进行人工观测。</w:t>
      </w:r>
    </w:p>
    <w:p>
      <w:pPr>
        <w:pStyle w:val="76"/>
        <w:spacing w:before="156" w:after="156"/>
        <w:rPr>
          <w:rFonts w:hint="default" w:ascii="Times New Roman" w:hAnsi="Times New Roman" w:cs="Times New Roman"/>
        </w:rPr>
      </w:pPr>
      <w:bookmarkStart w:id="78" w:name="_Toc163465900"/>
      <w:r>
        <w:rPr>
          <w:rFonts w:hint="default" w:ascii="Times New Roman" w:hAnsi="Times New Roman" w:cs="Times New Roman"/>
        </w:rPr>
        <w:t>白蚁危害检查</w:t>
      </w:r>
      <w:bookmarkEnd w:id="78"/>
    </w:p>
    <w:p>
      <w:pPr>
        <w:pStyle w:val="80"/>
        <w:spacing w:before="156" w:after="156"/>
        <w:rPr>
          <w:rFonts w:hint="default" w:ascii="Times New Roman" w:hAnsi="Times New Roman" w:cs="Times New Roman"/>
        </w:rPr>
      </w:pPr>
      <w:r>
        <w:rPr>
          <w:rFonts w:hint="default" w:ascii="Times New Roman" w:hAnsi="Times New Roman" w:cs="Times New Roman"/>
        </w:rPr>
        <w:t>检查分类</w:t>
      </w:r>
    </w:p>
    <w:p>
      <w:pPr>
        <w:pStyle w:val="34"/>
        <w:rPr>
          <w:rFonts w:hint="default" w:ascii="Times New Roman" w:hAnsi="Times New Roman" w:cs="Times New Roman"/>
        </w:rPr>
      </w:pPr>
      <w:r>
        <w:rPr>
          <w:rFonts w:hint="default" w:ascii="Times New Roman" w:hAnsi="Times New Roman" w:cs="Times New Roman"/>
        </w:rPr>
        <w:t>土石坝水库（面板堆石坝水库除外）应开展白蚁危害检查工作，分日常检查、定期普查和专项调查。</w:t>
      </w:r>
    </w:p>
    <w:p>
      <w:pPr>
        <w:pStyle w:val="80"/>
        <w:spacing w:before="156" w:after="156"/>
        <w:rPr>
          <w:rFonts w:hint="default" w:ascii="Times New Roman" w:hAnsi="Times New Roman" w:cs="Times New Roman"/>
        </w:rPr>
      </w:pPr>
      <w:r>
        <w:rPr>
          <w:rFonts w:hint="default" w:ascii="Times New Roman" w:hAnsi="Times New Roman" w:cs="Times New Roman"/>
        </w:rPr>
        <w:t>检查组织</w:t>
      </w:r>
    </w:p>
    <w:p>
      <w:pPr>
        <w:pStyle w:val="147"/>
        <w:rPr>
          <w:rFonts w:hint="default" w:ascii="Times New Roman" w:hAnsi="Times New Roman" w:cs="Times New Roman"/>
        </w:rPr>
      </w:pPr>
      <w:r>
        <w:rPr>
          <w:rFonts w:hint="default" w:ascii="Times New Roman" w:hAnsi="Times New Roman" w:cs="Times New Roman"/>
        </w:rPr>
        <w:t>日常检查由项目部相关岗位人员结合工程日常巡查开展。</w:t>
      </w:r>
    </w:p>
    <w:p>
      <w:pPr>
        <w:pStyle w:val="147"/>
        <w:rPr>
          <w:rFonts w:hint="default" w:ascii="Times New Roman" w:hAnsi="Times New Roman" w:cs="Times New Roman"/>
        </w:rPr>
      </w:pPr>
      <w:r>
        <w:rPr>
          <w:rFonts w:hint="default" w:ascii="Times New Roman" w:hAnsi="Times New Roman" w:cs="Times New Roman"/>
        </w:rPr>
        <w:t>定期普查、专项检查一般由水库专业技术人员联合白蚁防治专业单位或专业技术人员开展。</w:t>
      </w:r>
    </w:p>
    <w:p>
      <w:pPr>
        <w:pStyle w:val="80"/>
        <w:spacing w:before="156" w:after="156"/>
        <w:rPr>
          <w:rFonts w:hint="default" w:ascii="Times New Roman" w:hAnsi="Times New Roman" w:cs="Times New Roman"/>
        </w:rPr>
      </w:pPr>
      <w:r>
        <w:rPr>
          <w:rFonts w:hint="default" w:ascii="Times New Roman" w:hAnsi="Times New Roman" w:cs="Times New Roman"/>
        </w:rPr>
        <w:t>检查频次（时间）</w:t>
      </w:r>
    </w:p>
    <w:p>
      <w:pPr>
        <w:pStyle w:val="147"/>
        <w:rPr>
          <w:rFonts w:hint="default" w:ascii="Times New Roman" w:hAnsi="Times New Roman" w:cs="Times New Roman"/>
        </w:rPr>
      </w:pPr>
      <w:r>
        <w:rPr>
          <w:rFonts w:hint="default" w:ascii="Times New Roman" w:hAnsi="Times New Roman" w:cs="Times New Roman"/>
        </w:rPr>
        <w:t>日常检查按工程日常巡查频次开展，汛前检查和年度检查时全面排查蚁情。</w:t>
      </w:r>
    </w:p>
    <w:p>
      <w:pPr>
        <w:pStyle w:val="147"/>
        <w:rPr>
          <w:rFonts w:hint="default" w:ascii="Times New Roman" w:hAnsi="Times New Roman" w:cs="Times New Roman"/>
        </w:rPr>
      </w:pPr>
      <w:r>
        <w:rPr>
          <w:rFonts w:hint="default" w:ascii="Times New Roman" w:hAnsi="Times New Roman" w:cs="Times New Roman"/>
        </w:rPr>
        <w:t>定期普查为定期对土石坝工程各部位进行的全面检查，宜在春、秋两季各进行1 次。</w:t>
      </w:r>
    </w:p>
    <w:p>
      <w:pPr>
        <w:pStyle w:val="147"/>
        <w:rPr>
          <w:rFonts w:hint="default" w:ascii="Times New Roman" w:hAnsi="Times New Roman" w:cs="Times New Roman"/>
        </w:rPr>
      </w:pPr>
      <w:r>
        <w:rPr>
          <w:rFonts w:hint="default" w:ascii="Times New Roman" w:hAnsi="Times New Roman" w:cs="Times New Roman"/>
        </w:rPr>
        <w:t>专项检查应在首次发现白蚁危害、因蚁害导致工程出现险情以及新建、扩建、改建及除险加固等项目勘测设计阶段开展，也可结合水库大坝安全鉴定进行。</w:t>
      </w:r>
    </w:p>
    <w:p>
      <w:pPr>
        <w:pStyle w:val="80"/>
        <w:spacing w:before="156" w:after="156"/>
        <w:rPr>
          <w:rFonts w:hint="default" w:ascii="Times New Roman" w:hAnsi="Times New Roman" w:cs="Times New Roman"/>
        </w:rPr>
      </w:pPr>
      <w:r>
        <w:rPr>
          <w:rFonts w:hint="default" w:ascii="Times New Roman" w:hAnsi="Times New Roman" w:cs="Times New Roman"/>
        </w:rPr>
        <w:t>检查范围、方法、内容</w:t>
      </w:r>
    </w:p>
    <w:p>
      <w:pPr>
        <w:pStyle w:val="147"/>
        <w:rPr>
          <w:rFonts w:hint="default" w:ascii="Times New Roman" w:hAnsi="Times New Roman" w:cs="Times New Roman"/>
        </w:rPr>
      </w:pPr>
      <w:r>
        <w:rPr>
          <w:rFonts w:hint="default" w:ascii="Times New Roman" w:hAnsi="Times New Roman" w:cs="Times New Roman"/>
        </w:rPr>
        <w:t>白蚁危害检查的范围应包括蚁患区和蚁源区：</w:t>
      </w:r>
    </w:p>
    <w:p>
      <w:pPr>
        <w:pStyle w:val="93"/>
        <w:numPr>
          <w:ilvl w:val="0"/>
          <w:numId w:val="47"/>
        </w:numPr>
        <w:rPr>
          <w:rFonts w:hint="default" w:ascii="Times New Roman" w:hAnsi="Times New Roman" w:cs="Times New Roman"/>
        </w:rPr>
      </w:pPr>
      <w:r>
        <w:rPr>
          <w:rFonts w:hint="default" w:ascii="Times New Roman" w:hAnsi="Times New Roman" w:cs="Times New Roman"/>
        </w:rPr>
        <w:t>蚁患区为坝体、大坝两端及距坝脚线50 米范围以内；</w:t>
      </w:r>
    </w:p>
    <w:p>
      <w:pPr>
        <w:pStyle w:val="93"/>
        <w:rPr>
          <w:rFonts w:hint="default" w:ascii="Times New Roman" w:hAnsi="Times New Roman" w:cs="Times New Roman"/>
        </w:rPr>
      </w:pPr>
      <w:r>
        <w:rPr>
          <w:rFonts w:hint="default" w:ascii="Times New Roman" w:hAnsi="Times New Roman" w:cs="Times New Roman"/>
        </w:rPr>
        <w:t>蚁源区为蚁患区外300 米～500 米范围内，若上述范围外毗邻山体和树林，扩大至1000 米范围内。</w:t>
      </w:r>
    </w:p>
    <w:p>
      <w:pPr>
        <w:pStyle w:val="147"/>
        <w:rPr>
          <w:rFonts w:hint="default" w:ascii="Times New Roman" w:hAnsi="Times New Roman" w:cs="Times New Roman"/>
        </w:rPr>
      </w:pPr>
      <w:r>
        <w:rPr>
          <w:rFonts w:hint="default" w:ascii="Times New Roman" w:hAnsi="Times New Roman" w:cs="Times New Roman"/>
        </w:rPr>
        <w:t>蚁情检查包括以下内容：</w:t>
      </w:r>
    </w:p>
    <w:p>
      <w:pPr>
        <w:pStyle w:val="93"/>
        <w:numPr>
          <w:ilvl w:val="0"/>
          <w:numId w:val="48"/>
        </w:numPr>
        <w:rPr>
          <w:rFonts w:hint="default" w:ascii="Times New Roman" w:hAnsi="Times New Roman" w:cs="Times New Roman"/>
        </w:rPr>
      </w:pPr>
      <w:r>
        <w:rPr>
          <w:rFonts w:hint="default" w:ascii="Times New Roman" w:hAnsi="Times New Roman" w:cs="Times New Roman"/>
        </w:rPr>
        <w:t>白蚁活动痕迹，主要观察泥被、泥线、分飞孔以及被蛀食物、真菌指示物等白蚁外露特征；</w:t>
      </w:r>
    </w:p>
    <w:p>
      <w:pPr>
        <w:pStyle w:val="93"/>
        <w:rPr>
          <w:rFonts w:hint="default" w:ascii="Times New Roman" w:hAnsi="Times New Roman" w:cs="Times New Roman"/>
        </w:rPr>
      </w:pPr>
      <w:r>
        <w:rPr>
          <w:rFonts w:hint="default" w:ascii="Times New Roman" w:hAnsi="Times New Roman" w:cs="Times New Roman"/>
        </w:rPr>
        <w:t>大坝是否存在由白蚁危害引起的散浸、漏洞、跌窝等现象；</w:t>
      </w:r>
    </w:p>
    <w:p>
      <w:pPr>
        <w:pStyle w:val="93"/>
        <w:rPr>
          <w:rFonts w:hint="default" w:ascii="Times New Roman" w:hAnsi="Times New Roman" w:cs="Times New Roman"/>
        </w:rPr>
      </w:pPr>
      <w:r>
        <w:rPr>
          <w:rFonts w:hint="default" w:ascii="Times New Roman" w:hAnsi="Times New Roman" w:cs="Times New Roman"/>
        </w:rPr>
        <w:t>大坝迎水面漂浮物中是否有白蚁蛀蚀痕迹；</w:t>
      </w:r>
    </w:p>
    <w:p>
      <w:pPr>
        <w:pStyle w:val="93"/>
        <w:rPr>
          <w:rFonts w:hint="default" w:ascii="Times New Roman" w:hAnsi="Times New Roman" w:cs="Times New Roman"/>
        </w:rPr>
      </w:pPr>
      <w:r>
        <w:rPr>
          <w:rFonts w:hint="default" w:ascii="Times New Roman" w:hAnsi="Times New Roman" w:cs="Times New Roman"/>
        </w:rPr>
        <w:t>白蚁分飞期，观察和记录有翅成虫的分飞孔位置、数量和分飞时间，以及气象条件等；</w:t>
      </w:r>
    </w:p>
    <w:p>
      <w:pPr>
        <w:pStyle w:val="93"/>
        <w:rPr>
          <w:rFonts w:hint="default" w:ascii="Times New Roman" w:hAnsi="Times New Roman" w:cs="Times New Roman"/>
        </w:rPr>
      </w:pPr>
      <w:r>
        <w:rPr>
          <w:rFonts w:hint="default" w:ascii="Times New Roman" w:hAnsi="Times New Roman" w:cs="Times New Roman"/>
        </w:rPr>
        <w:t>必要时，利用仪器设备探测坝体是否有白蚁巢穴；</w:t>
      </w:r>
    </w:p>
    <w:p>
      <w:pPr>
        <w:pStyle w:val="93"/>
        <w:rPr>
          <w:rFonts w:hint="default" w:ascii="Times New Roman" w:hAnsi="Times New Roman" w:cs="Times New Roman"/>
        </w:rPr>
      </w:pPr>
      <w:r>
        <w:rPr>
          <w:rFonts w:hint="default" w:ascii="Times New Roman" w:hAnsi="Times New Roman" w:cs="Times New Roman"/>
        </w:rPr>
        <w:t>定期普查和专项检查除上述检查内容外，还应收集工程水文、气象、土壤、植被资料以及白蚁防治历史资料。</w:t>
      </w:r>
    </w:p>
    <w:p>
      <w:pPr>
        <w:pStyle w:val="80"/>
        <w:spacing w:before="156" w:after="156"/>
        <w:rPr>
          <w:rFonts w:hint="default" w:ascii="Times New Roman" w:hAnsi="Times New Roman" w:cs="Times New Roman"/>
        </w:rPr>
      </w:pPr>
      <w:r>
        <w:rPr>
          <w:rFonts w:hint="default" w:ascii="Times New Roman" w:hAnsi="Times New Roman" w:cs="Times New Roman"/>
        </w:rPr>
        <w:t>检查方法和要求</w:t>
      </w:r>
    </w:p>
    <w:p>
      <w:pPr>
        <w:pStyle w:val="147"/>
        <w:rPr>
          <w:rFonts w:hint="default" w:ascii="Times New Roman" w:hAnsi="Times New Roman" w:cs="Times New Roman"/>
        </w:rPr>
      </w:pPr>
      <w:r>
        <w:rPr>
          <w:rFonts w:hint="default" w:ascii="Times New Roman" w:hAnsi="Times New Roman" w:cs="Times New Roman"/>
        </w:rPr>
        <w:t>白蚁危害检查可采用人工踏勘法、引诱法、仪器探测法等方法。人工踏勘法包括目测法、翻找法等，引诱法包括引诱堆（坑、桩）和监测装置等，仪器探测法包括探地雷达法、高密度电阻率法等。</w:t>
      </w:r>
    </w:p>
    <w:p>
      <w:pPr>
        <w:pStyle w:val="147"/>
        <w:rPr>
          <w:rFonts w:hint="default" w:ascii="Times New Roman" w:hAnsi="Times New Roman" w:cs="Times New Roman"/>
        </w:rPr>
      </w:pPr>
      <w:r>
        <w:rPr>
          <w:rFonts w:hint="default" w:ascii="Times New Roman" w:hAnsi="Times New Roman" w:cs="Times New Roman"/>
        </w:rPr>
        <w:t>专项检查应开展白蚁危害等级评定，评定应符合GB/T 51253的要求。</w:t>
      </w:r>
    </w:p>
    <w:p>
      <w:pPr>
        <w:pStyle w:val="80"/>
        <w:spacing w:before="156" w:after="156"/>
        <w:rPr>
          <w:rFonts w:hint="default" w:ascii="Times New Roman" w:hAnsi="Times New Roman" w:cs="Times New Roman"/>
        </w:rPr>
      </w:pPr>
      <w:r>
        <w:rPr>
          <w:rFonts w:hint="default" w:ascii="Times New Roman" w:hAnsi="Times New Roman" w:cs="Times New Roman"/>
        </w:rPr>
        <w:t>检查记录</w:t>
      </w:r>
    </w:p>
    <w:p>
      <w:pPr>
        <w:pStyle w:val="34"/>
        <w:rPr>
          <w:rFonts w:hint="default" w:ascii="Times New Roman" w:hAnsi="Times New Roman" w:cs="Times New Roman"/>
        </w:rPr>
      </w:pPr>
      <w:r>
        <w:rPr>
          <w:rFonts w:hint="default" w:ascii="Times New Roman" w:hAnsi="Times New Roman" w:cs="Times New Roman"/>
        </w:rPr>
        <w:t>白蚁危害检查应做好检查记录，绘制白蚁活动痕迹分布图，标注白蚁活动位置和痕迹类型，并在白蚁活动的地方设置明显标记或标志。</w:t>
      </w:r>
    </w:p>
    <w:p>
      <w:pPr>
        <w:pStyle w:val="80"/>
        <w:spacing w:before="156" w:after="156"/>
        <w:rPr>
          <w:rFonts w:hint="default" w:ascii="Times New Roman" w:hAnsi="Times New Roman" w:cs="Times New Roman"/>
        </w:rPr>
      </w:pPr>
      <w:r>
        <w:rPr>
          <w:rFonts w:hint="default" w:ascii="Times New Roman" w:hAnsi="Times New Roman" w:cs="Times New Roman"/>
        </w:rPr>
        <w:t>危害处置</w:t>
      </w:r>
    </w:p>
    <w:p>
      <w:pPr>
        <w:pStyle w:val="147"/>
        <w:rPr>
          <w:rFonts w:hint="default" w:ascii="Times New Roman" w:hAnsi="Times New Roman" w:cs="Times New Roman"/>
        </w:rPr>
      </w:pPr>
      <w:r>
        <w:rPr>
          <w:rFonts w:hint="default" w:ascii="Times New Roman" w:hAnsi="Times New Roman" w:cs="Times New Roman"/>
        </w:rPr>
        <w:t>白蚁检查中发现严重危害时，安排专人进行观测，并采取相应处置措施。发现蚁害导致的工程险情征兆时，立即制定应急处置方案，准备必要的抢险物资、设备和白蚁防治药物、器械。</w:t>
      </w:r>
    </w:p>
    <w:p>
      <w:pPr>
        <w:pStyle w:val="147"/>
        <w:rPr>
          <w:rFonts w:hint="default" w:ascii="Times New Roman" w:hAnsi="Times New Roman" w:cs="Times New Roman"/>
        </w:rPr>
      </w:pPr>
      <w:r>
        <w:rPr>
          <w:rFonts w:hint="default" w:ascii="Times New Roman" w:hAnsi="Times New Roman" w:cs="Times New Roman"/>
        </w:rPr>
        <w:t>白蚁危害等级评定后，根据危害程度采取相应防治措施。</w:t>
      </w:r>
    </w:p>
    <w:p>
      <w:pPr>
        <w:pStyle w:val="79"/>
        <w:spacing w:before="312" w:after="312"/>
        <w:rPr>
          <w:rFonts w:hint="default" w:ascii="Times New Roman" w:hAnsi="Times New Roman" w:cs="Times New Roman"/>
        </w:rPr>
      </w:pPr>
      <w:bookmarkStart w:id="79" w:name="_Toc493773266"/>
      <w:bookmarkStart w:id="80" w:name="_Toc163465901"/>
      <w:bookmarkStart w:id="81" w:name="_Toc501612751"/>
      <w:r>
        <w:rPr>
          <w:rFonts w:hint="default" w:ascii="Times New Roman" w:hAnsi="Times New Roman" w:cs="Times New Roman"/>
        </w:rPr>
        <w:t>维修养护</w:t>
      </w:r>
      <w:bookmarkEnd w:id="79"/>
      <w:bookmarkEnd w:id="80"/>
      <w:bookmarkEnd w:id="81"/>
    </w:p>
    <w:p>
      <w:pPr>
        <w:pStyle w:val="76"/>
        <w:spacing w:before="156" w:after="156"/>
        <w:rPr>
          <w:rFonts w:hint="default" w:ascii="Times New Roman" w:hAnsi="Times New Roman" w:cs="Times New Roman"/>
        </w:rPr>
      </w:pPr>
      <w:bookmarkStart w:id="82" w:name="_Toc163465902"/>
      <w:bookmarkStart w:id="83" w:name="_Toc493773267"/>
      <w:r>
        <w:rPr>
          <w:rFonts w:hint="default" w:ascii="Times New Roman" w:hAnsi="Times New Roman" w:cs="Times New Roman"/>
        </w:rPr>
        <w:t>一般规定</w:t>
      </w:r>
      <w:bookmarkEnd w:id="82"/>
      <w:bookmarkEnd w:id="83"/>
    </w:p>
    <w:p>
      <w:pPr>
        <w:pStyle w:val="97"/>
        <w:rPr>
          <w:rFonts w:hint="default" w:ascii="Times New Roman" w:hAnsi="Times New Roman" w:cs="Times New Roman"/>
        </w:rPr>
      </w:pPr>
      <w:r>
        <w:rPr>
          <w:rFonts w:hint="default" w:ascii="Times New Roman" w:hAnsi="Times New Roman" w:cs="Times New Roman"/>
        </w:rPr>
        <w:t>项目部应按年度维修养护计划及委托合同开展维修养护，保持工程符合设计标准和使用功能，维持良好的形象面貌。</w:t>
      </w:r>
    </w:p>
    <w:p>
      <w:pPr>
        <w:pStyle w:val="97"/>
        <w:rPr>
          <w:rFonts w:hint="default" w:ascii="Times New Roman" w:hAnsi="Times New Roman" w:cs="Times New Roman"/>
        </w:rPr>
      </w:pPr>
      <w:r>
        <w:rPr>
          <w:rFonts w:hint="default" w:ascii="Times New Roman" w:hAnsi="Times New Roman" w:cs="Times New Roman"/>
        </w:rPr>
        <w:t>维修养护项目一般分日常维护项目、专项维修项目两类。</w:t>
      </w:r>
    </w:p>
    <w:p>
      <w:pPr>
        <w:pStyle w:val="97"/>
        <w:rPr>
          <w:rFonts w:hint="default" w:ascii="Times New Roman" w:hAnsi="Times New Roman" w:cs="Times New Roman"/>
        </w:rPr>
      </w:pPr>
      <w:r>
        <w:rPr>
          <w:rFonts w:hint="default" w:ascii="Times New Roman" w:hAnsi="Times New Roman" w:cs="Times New Roman"/>
        </w:rPr>
        <w:t>日常维护项目包括每年均需要定期和不定期开展的维修养护项目，包括水工建筑物和附属设施、金属结构和机电设备、安全监测设施、管理设施、库区环境等的日常维护。</w:t>
      </w:r>
    </w:p>
    <w:p>
      <w:pPr>
        <w:pStyle w:val="97"/>
        <w:rPr>
          <w:rFonts w:hint="default" w:ascii="Times New Roman" w:hAnsi="Times New Roman" w:cs="Times New Roman"/>
        </w:rPr>
      </w:pPr>
      <w:r>
        <w:rPr>
          <w:rFonts w:hint="default" w:ascii="Times New Roman" w:hAnsi="Times New Roman" w:cs="Times New Roman"/>
        </w:rPr>
        <w:t>专项维修项目根据有关规定或检查结果开展。专项维修项目应编制工作方案或专项报告。</w:t>
      </w:r>
    </w:p>
    <w:p>
      <w:pPr>
        <w:pStyle w:val="97"/>
        <w:rPr>
          <w:rFonts w:hint="default" w:ascii="Times New Roman" w:hAnsi="Times New Roman" w:cs="Times New Roman"/>
        </w:rPr>
      </w:pPr>
      <w:r>
        <w:rPr>
          <w:rFonts w:hint="default" w:ascii="Times New Roman" w:hAnsi="Times New Roman" w:cs="Times New Roman"/>
        </w:rPr>
        <w:t>工程设施、设备的维修养护要求及频次，应结合运行条件、使用情况及检测成果具体确定。</w:t>
      </w:r>
    </w:p>
    <w:p>
      <w:pPr>
        <w:pStyle w:val="97"/>
        <w:rPr>
          <w:rFonts w:hint="default" w:ascii="Times New Roman" w:hAnsi="Times New Roman" w:cs="Times New Roman"/>
        </w:rPr>
      </w:pPr>
      <w:r>
        <w:rPr>
          <w:rFonts w:hint="default" w:ascii="Times New Roman" w:hAnsi="Times New Roman" w:cs="Times New Roman"/>
        </w:rPr>
        <w:t>除本标准规定外，维修养护的项目、方法及要求还应符合GB/T 5972、SL 105、SL 210、SL 226及SL 230相关规定。</w:t>
      </w:r>
    </w:p>
    <w:p>
      <w:pPr>
        <w:pStyle w:val="76"/>
        <w:spacing w:before="156" w:after="156"/>
        <w:rPr>
          <w:rFonts w:hint="default" w:ascii="Times New Roman" w:hAnsi="Times New Roman" w:cs="Times New Roman"/>
        </w:rPr>
      </w:pPr>
      <w:bookmarkStart w:id="84" w:name="_Toc25545"/>
      <w:bookmarkStart w:id="85" w:name="_Toc533756527"/>
      <w:bookmarkStart w:id="86" w:name="_Toc533756484"/>
      <w:bookmarkStart w:id="87" w:name="_Toc526084818"/>
      <w:bookmarkStart w:id="88" w:name="_Toc163465903"/>
      <w:r>
        <w:rPr>
          <w:rFonts w:hint="default" w:ascii="Times New Roman" w:hAnsi="Times New Roman" w:cs="Times New Roman"/>
        </w:rPr>
        <w:t>维修养护要求</w:t>
      </w:r>
      <w:bookmarkEnd w:id="84"/>
      <w:bookmarkEnd w:id="85"/>
      <w:bookmarkEnd w:id="86"/>
      <w:bookmarkEnd w:id="87"/>
      <w:bookmarkEnd w:id="88"/>
    </w:p>
    <w:p>
      <w:pPr>
        <w:pStyle w:val="80"/>
        <w:spacing w:before="156" w:after="156"/>
        <w:rPr>
          <w:rFonts w:hint="default" w:ascii="Times New Roman" w:hAnsi="Times New Roman" w:cs="Times New Roman"/>
        </w:rPr>
      </w:pPr>
      <w:bookmarkStart w:id="89" w:name="_Toc7902"/>
      <w:r>
        <w:rPr>
          <w:rFonts w:hint="default" w:ascii="Times New Roman" w:hAnsi="Times New Roman" w:cs="Times New Roman"/>
        </w:rPr>
        <w:t>水工建筑物</w:t>
      </w:r>
      <w:bookmarkEnd w:id="89"/>
    </w:p>
    <w:p>
      <w:pPr>
        <w:pStyle w:val="147"/>
        <w:rPr>
          <w:rFonts w:hint="default" w:ascii="Times New Roman" w:hAnsi="Times New Roman" w:cs="Times New Roman"/>
        </w:rPr>
      </w:pPr>
      <w:r>
        <w:rPr>
          <w:rFonts w:hint="default" w:ascii="Times New Roman" w:hAnsi="Times New Roman" w:cs="Times New Roman"/>
        </w:rPr>
        <w:t>水工建筑物线直面平，结构完整、运行正常，无裂缝、破损、缺失等缺陷或动植物危害，无积水、杂物等现象。</w:t>
      </w:r>
    </w:p>
    <w:p>
      <w:pPr>
        <w:pStyle w:val="147"/>
        <w:rPr>
          <w:rFonts w:hint="default" w:ascii="Times New Roman" w:hAnsi="Times New Roman" w:cs="Times New Roman"/>
        </w:rPr>
      </w:pPr>
      <w:r>
        <w:rPr>
          <w:rFonts w:hint="default" w:ascii="Times New Roman" w:hAnsi="Times New Roman" w:cs="Times New Roman"/>
        </w:rPr>
        <w:t>坝面出现的坑洼、雨淋沟、坑凹或混凝土表面存在的剥蚀、冲刷、风化或局部裂缝等可能影响工程耐久性的缺陷，应在2 个月内修复。</w:t>
      </w:r>
    </w:p>
    <w:p>
      <w:pPr>
        <w:pStyle w:val="147"/>
        <w:rPr>
          <w:rFonts w:hint="default" w:ascii="Times New Roman" w:hAnsi="Times New Roman" w:cs="Times New Roman"/>
        </w:rPr>
      </w:pPr>
      <w:r>
        <w:rPr>
          <w:rFonts w:hint="default" w:ascii="Times New Roman" w:hAnsi="Times New Roman" w:cs="Times New Roman"/>
        </w:rPr>
        <w:t>溢洪道存在阻碍行洪的障碍物，应及时清理；</w:t>
      </w:r>
    </w:p>
    <w:p>
      <w:pPr>
        <w:pStyle w:val="147"/>
        <w:rPr>
          <w:rFonts w:hint="default" w:ascii="Times New Roman" w:hAnsi="Times New Roman" w:cs="Times New Roman"/>
        </w:rPr>
      </w:pPr>
      <w:r>
        <w:rPr>
          <w:rFonts w:hint="default" w:ascii="Times New Roman" w:hAnsi="Times New Roman" w:cs="Times New Roman"/>
        </w:rPr>
        <w:t>排水沟（管）的淤泥、杂物，应在2 周内完成清理；排水孔发生堵塞现象的，应及时处理。</w:t>
      </w:r>
    </w:p>
    <w:p>
      <w:pPr>
        <w:pStyle w:val="147"/>
        <w:rPr>
          <w:rFonts w:hint="default" w:ascii="Times New Roman" w:hAnsi="Times New Roman" w:cs="Times New Roman"/>
        </w:rPr>
      </w:pPr>
      <w:r>
        <w:rPr>
          <w:rFonts w:hint="default" w:ascii="Times New Roman" w:hAnsi="Times New Roman" w:cs="Times New Roman"/>
        </w:rPr>
        <w:t>集水井、廊道内的杂物，应在1 周内完成清理。</w:t>
      </w:r>
    </w:p>
    <w:p>
      <w:pPr>
        <w:pStyle w:val="147"/>
        <w:rPr>
          <w:rFonts w:hint="default" w:ascii="Times New Roman" w:hAnsi="Times New Roman" w:cs="Times New Roman"/>
        </w:rPr>
      </w:pPr>
      <w:r>
        <w:rPr>
          <w:rFonts w:hint="default" w:ascii="Times New Roman" w:hAnsi="Times New Roman" w:cs="Times New Roman"/>
        </w:rPr>
        <w:t>土石坝背水坡不应种植大型灌木、荆棘等植物。</w:t>
      </w:r>
    </w:p>
    <w:p>
      <w:pPr>
        <w:pStyle w:val="80"/>
        <w:spacing w:before="156" w:after="156"/>
        <w:rPr>
          <w:rFonts w:hint="default" w:ascii="Times New Roman" w:hAnsi="Times New Roman" w:cs="Times New Roman"/>
        </w:rPr>
      </w:pPr>
      <w:bookmarkStart w:id="90" w:name="_Toc11236"/>
      <w:r>
        <w:rPr>
          <w:rFonts w:hint="default" w:ascii="Times New Roman" w:hAnsi="Times New Roman" w:cs="Times New Roman"/>
        </w:rPr>
        <w:t>金属结构和机电设备</w:t>
      </w:r>
      <w:bookmarkEnd w:id="90"/>
    </w:p>
    <w:p>
      <w:pPr>
        <w:pStyle w:val="147"/>
        <w:rPr>
          <w:rFonts w:hint="default" w:ascii="Times New Roman" w:hAnsi="Times New Roman" w:cs="Times New Roman"/>
        </w:rPr>
      </w:pPr>
      <w:r>
        <w:rPr>
          <w:rFonts w:hint="default" w:ascii="Times New Roman" w:hAnsi="Times New Roman" w:cs="Times New Roman"/>
        </w:rPr>
        <w:t>金属结构和机电设备应防腐及时、保洁到位，润滑良好、启闭灵活，使用正常、运行安全。</w:t>
      </w:r>
    </w:p>
    <w:p>
      <w:pPr>
        <w:pStyle w:val="147"/>
        <w:rPr>
          <w:rFonts w:hint="default" w:ascii="Times New Roman" w:hAnsi="Times New Roman" w:cs="Times New Roman"/>
        </w:rPr>
      </w:pPr>
      <w:r>
        <w:rPr>
          <w:rFonts w:hint="default" w:ascii="Times New Roman" w:hAnsi="Times New Roman" w:cs="Times New Roman"/>
        </w:rPr>
        <w:t>闸门门体、门槽、行走支承一般每3 年～5 年防腐处理1 次。</w:t>
      </w:r>
    </w:p>
    <w:p>
      <w:pPr>
        <w:pStyle w:val="147"/>
        <w:rPr>
          <w:rFonts w:hint="default" w:ascii="Times New Roman" w:hAnsi="Times New Roman" w:cs="Times New Roman"/>
        </w:rPr>
      </w:pPr>
      <w:r>
        <w:rPr>
          <w:rFonts w:hint="default" w:ascii="Times New Roman" w:hAnsi="Times New Roman" w:cs="Times New Roman"/>
        </w:rPr>
        <w:t>止水设施根据运行情况更换，一般每3 年～5 年更换1 次。</w:t>
      </w:r>
    </w:p>
    <w:p>
      <w:pPr>
        <w:pStyle w:val="147"/>
        <w:rPr>
          <w:rFonts w:hint="default" w:ascii="Times New Roman" w:hAnsi="Times New Roman" w:cs="Times New Roman"/>
        </w:rPr>
      </w:pPr>
      <w:r>
        <w:rPr>
          <w:rFonts w:hint="default" w:ascii="Times New Roman" w:hAnsi="Times New Roman" w:cs="Times New Roman"/>
        </w:rPr>
        <w:t>钢丝绳应定期维护，一般每5 年～10 年更换1 次，发现断丝应及时更换。如经专业检测可正常使用的，可在增加养护频次的基础上增加使用年限，并应符合GB/T 5972 的要求。</w:t>
      </w:r>
    </w:p>
    <w:p>
      <w:pPr>
        <w:pStyle w:val="147"/>
        <w:rPr>
          <w:rFonts w:hint="default" w:ascii="Times New Roman" w:hAnsi="Times New Roman" w:cs="Times New Roman"/>
        </w:rPr>
      </w:pPr>
      <w:r>
        <w:rPr>
          <w:rFonts w:hint="default" w:ascii="Times New Roman" w:hAnsi="Times New Roman" w:cs="Times New Roman"/>
        </w:rPr>
        <w:t>应及时更换受损的其他构件、设备部件。</w:t>
      </w:r>
    </w:p>
    <w:p>
      <w:pPr>
        <w:pStyle w:val="80"/>
        <w:spacing w:before="156" w:after="156"/>
        <w:rPr>
          <w:rFonts w:hint="default" w:ascii="Times New Roman" w:hAnsi="Times New Roman" w:cs="Times New Roman"/>
        </w:rPr>
      </w:pPr>
      <w:bookmarkStart w:id="91" w:name="_Toc5039"/>
      <w:r>
        <w:rPr>
          <w:rFonts w:hint="default" w:ascii="Times New Roman" w:hAnsi="Times New Roman" w:cs="Times New Roman"/>
        </w:rPr>
        <w:t>其他建筑物及设施设备</w:t>
      </w:r>
      <w:bookmarkEnd w:id="91"/>
    </w:p>
    <w:p>
      <w:pPr>
        <w:pStyle w:val="147"/>
        <w:rPr>
          <w:rFonts w:hint="default" w:ascii="Times New Roman" w:hAnsi="Times New Roman" w:cs="Times New Roman"/>
        </w:rPr>
      </w:pPr>
      <w:r>
        <w:rPr>
          <w:rFonts w:hint="default" w:ascii="Times New Roman" w:hAnsi="Times New Roman" w:cs="Times New Roman"/>
        </w:rPr>
        <w:t>边坡与岸坡应保持整体稳定，无岩土体松动、掉块、坍塌等现象。</w:t>
      </w:r>
    </w:p>
    <w:p>
      <w:pPr>
        <w:pStyle w:val="147"/>
        <w:rPr>
          <w:rFonts w:hint="default" w:ascii="Times New Roman" w:hAnsi="Times New Roman" w:cs="Times New Roman"/>
        </w:rPr>
      </w:pPr>
      <w:r>
        <w:rPr>
          <w:rFonts w:hint="default" w:ascii="Times New Roman" w:hAnsi="Times New Roman" w:cs="Times New Roman"/>
        </w:rPr>
        <w:t>监测设施应保持结构完整，并定期率定，不满足要求时应及时修复或更换。</w:t>
      </w:r>
    </w:p>
    <w:p>
      <w:pPr>
        <w:pStyle w:val="147"/>
        <w:rPr>
          <w:rFonts w:hint="default" w:ascii="Times New Roman" w:hAnsi="Times New Roman" w:cs="Times New Roman"/>
        </w:rPr>
      </w:pPr>
      <w:r>
        <w:rPr>
          <w:rFonts w:hint="default" w:ascii="Times New Roman" w:hAnsi="Times New Roman" w:cs="Times New Roman"/>
        </w:rPr>
        <w:t>管理设施应保持完好。管理房整洁，标识牌清晰，交通安全通畅。</w:t>
      </w:r>
    </w:p>
    <w:p>
      <w:pPr>
        <w:pStyle w:val="80"/>
        <w:spacing w:before="156" w:after="156"/>
        <w:rPr>
          <w:rFonts w:hint="default" w:ascii="Times New Roman" w:hAnsi="Times New Roman" w:cs="Times New Roman"/>
        </w:rPr>
      </w:pPr>
      <w:bookmarkStart w:id="92" w:name="_Toc148882791"/>
      <w:r>
        <w:rPr>
          <w:rFonts w:hint="default" w:ascii="Times New Roman" w:hAnsi="Times New Roman" w:cs="Times New Roman"/>
        </w:rPr>
        <w:t>环境</w:t>
      </w:r>
      <w:bookmarkEnd w:id="92"/>
      <w:r>
        <w:rPr>
          <w:rFonts w:hint="default" w:ascii="Times New Roman" w:hAnsi="Times New Roman" w:cs="Times New Roman"/>
        </w:rPr>
        <w:t>面貌</w:t>
      </w:r>
    </w:p>
    <w:p>
      <w:pPr>
        <w:pStyle w:val="147"/>
        <w:rPr>
          <w:rFonts w:hint="default" w:ascii="Times New Roman" w:hAnsi="Times New Roman" w:cs="Times New Roman"/>
        </w:rPr>
      </w:pPr>
      <w:r>
        <w:rPr>
          <w:rFonts w:hint="default" w:ascii="Times New Roman" w:hAnsi="Times New Roman" w:cs="Times New Roman"/>
        </w:rPr>
        <w:t>水库环境面貌应保持干净整洁。</w:t>
      </w:r>
    </w:p>
    <w:p>
      <w:pPr>
        <w:pStyle w:val="147"/>
        <w:rPr>
          <w:rFonts w:hint="default" w:ascii="Times New Roman" w:hAnsi="Times New Roman" w:cs="Times New Roman"/>
        </w:rPr>
      </w:pPr>
      <w:r>
        <w:rPr>
          <w:rFonts w:hint="default" w:ascii="Times New Roman" w:hAnsi="Times New Roman" w:cs="Times New Roman"/>
        </w:rPr>
        <w:t>水库枢纽建筑物周围库面聚集的漂浮物，应在2 日内完成清理或洪水期后及时清理。</w:t>
      </w:r>
    </w:p>
    <w:p>
      <w:pPr>
        <w:pStyle w:val="147"/>
        <w:rPr>
          <w:rFonts w:hint="default" w:ascii="Times New Roman" w:hAnsi="Times New Roman" w:cs="Times New Roman"/>
        </w:rPr>
      </w:pPr>
      <w:r>
        <w:rPr>
          <w:rFonts w:hint="default" w:ascii="Times New Roman" w:hAnsi="Times New Roman" w:cs="Times New Roman"/>
        </w:rPr>
        <w:t>水库管理范围绿化区域应定期维护，及时清除杂草、定期修剪、松土、施肥及病虫害防治等，覆盖率不满足要求时应适时补植。</w:t>
      </w:r>
    </w:p>
    <w:p>
      <w:pPr>
        <w:pStyle w:val="76"/>
        <w:spacing w:before="156" w:after="156"/>
        <w:rPr>
          <w:rFonts w:hint="default" w:ascii="Times New Roman" w:hAnsi="Times New Roman" w:cs="Times New Roman"/>
        </w:rPr>
      </w:pPr>
      <w:bookmarkStart w:id="93" w:name="_Toc163465904"/>
      <w:r>
        <w:rPr>
          <w:rFonts w:hint="default" w:ascii="Times New Roman" w:hAnsi="Times New Roman" w:cs="Times New Roman"/>
        </w:rPr>
        <w:t>维修养护记录</w:t>
      </w:r>
      <w:bookmarkEnd w:id="93"/>
    </w:p>
    <w:p>
      <w:pPr>
        <w:pStyle w:val="34"/>
        <w:rPr>
          <w:rFonts w:hint="default" w:ascii="Times New Roman" w:hAnsi="Times New Roman" w:cs="Times New Roman"/>
        </w:rPr>
      </w:pPr>
      <w:r>
        <w:rPr>
          <w:rFonts w:hint="default" w:ascii="Times New Roman" w:hAnsi="Times New Roman" w:cs="Times New Roman"/>
        </w:rPr>
        <w:t>做好日常维修养护记录，台账记录应完整详细，由相关负责人签字，并及时归档。</w:t>
      </w:r>
    </w:p>
    <w:p>
      <w:pPr>
        <w:pStyle w:val="79"/>
        <w:spacing w:before="312" w:after="312"/>
        <w:rPr>
          <w:rFonts w:hint="default" w:ascii="Times New Roman" w:hAnsi="Times New Roman" w:cs="Times New Roman"/>
        </w:rPr>
      </w:pPr>
      <w:bookmarkStart w:id="94" w:name="_Toc163465905"/>
      <w:r>
        <w:rPr>
          <w:rFonts w:hint="default" w:ascii="Times New Roman" w:hAnsi="Times New Roman" w:cs="Times New Roman"/>
        </w:rPr>
        <w:t>泄（放）水操作</w:t>
      </w:r>
      <w:bookmarkEnd w:id="94"/>
    </w:p>
    <w:p>
      <w:pPr>
        <w:pStyle w:val="159"/>
        <w:rPr>
          <w:rFonts w:hint="default" w:ascii="Times New Roman" w:hAnsi="Times New Roman" w:cs="Times New Roman"/>
        </w:rPr>
      </w:pPr>
      <w:bookmarkStart w:id="95" w:name="_Toc159919319"/>
      <w:bookmarkStart w:id="96" w:name="_Toc163461462"/>
      <w:bookmarkStart w:id="97" w:name="_Toc161410762"/>
      <w:bookmarkStart w:id="98" w:name="_Toc163465906"/>
      <w:bookmarkStart w:id="99" w:name="_Toc159919841"/>
      <w:r>
        <w:rPr>
          <w:rFonts w:hint="default" w:ascii="Times New Roman" w:hAnsi="Times New Roman" w:cs="Times New Roman"/>
        </w:rPr>
        <w:t>项目部应配合执行经批准的水库年度控制运用计划或调度方案。</w:t>
      </w:r>
      <w:bookmarkEnd w:id="95"/>
      <w:bookmarkEnd w:id="96"/>
      <w:bookmarkEnd w:id="97"/>
      <w:bookmarkEnd w:id="98"/>
      <w:bookmarkEnd w:id="99"/>
    </w:p>
    <w:p>
      <w:pPr>
        <w:pStyle w:val="159"/>
        <w:rPr>
          <w:rFonts w:hint="default" w:ascii="Times New Roman" w:hAnsi="Times New Roman" w:cs="Times New Roman"/>
        </w:rPr>
      </w:pPr>
      <w:bookmarkStart w:id="100" w:name="_Toc161410763"/>
      <w:bookmarkStart w:id="101" w:name="_Toc163465907"/>
      <w:bookmarkStart w:id="102" w:name="_Toc159919842"/>
      <w:bookmarkStart w:id="103" w:name="_Toc163461463"/>
      <w:bookmarkStart w:id="104" w:name="_Toc159919320"/>
      <w:r>
        <w:rPr>
          <w:rFonts w:hint="default" w:ascii="Times New Roman" w:hAnsi="Times New Roman" w:cs="Times New Roman"/>
        </w:rPr>
        <w:t>项目部应按照SL 722 要求，根据机电设备、放水设施等特性制定运行操作规程，并在操作岗位醒目位置上墙。</w:t>
      </w:r>
      <w:bookmarkEnd w:id="100"/>
      <w:bookmarkEnd w:id="101"/>
      <w:bookmarkEnd w:id="102"/>
      <w:bookmarkEnd w:id="103"/>
      <w:bookmarkEnd w:id="104"/>
    </w:p>
    <w:p>
      <w:pPr>
        <w:pStyle w:val="159"/>
        <w:rPr>
          <w:rFonts w:hint="default" w:ascii="Times New Roman" w:hAnsi="Times New Roman" w:cs="Times New Roman"/>
        </w:rPr>
      </w:pPr>
      <w:bookmarkStart w:id="105" w:name="_Toc163465908"/>
      <w:bookmarkStart w:id="106" w:name="_Toc159919843"/>
      <w:bookmarkStart w:id="107" w:name="_Toc161410764"/>
      <w:bookmarkStart w:id="108" w:name="_Toc163461464"/>
      <w:bookmarkStart w:id="109" w:name="_Toc159919321"/>
      <w:r>
        <w:rPr>
          <w:rFonts w:hint="default" w:ascii="Times New Roman" w:hAnsi="Times New Roman" w:cs="Times New Roman"/>
        </w:rPr>
        <w:t>用于防洪调度的闸门应由专人操作。闸门启闭前，应检查闸门、启闭设备及各水工建筑物有无异常，确认正常后，再执行启闭操作程序，并做好设备运行记录。泄洪闸门启（闭）操作单可参照附录G.1。</w:t>
      </w:r>
      <w:bookmarkEnd w:id="105"/>
      <w:bookmarkEnd w:id="106"/>
      <w:bookmarkEnd w:id="107"/>
      <w:bookmarkEnd w:id="108"/>
      <w:bookmarkEnd w:id="109"/>
    </w:p>
    <w:p>
      <w:pPr>
        <w:pStyle w:val="159"/>
        <w:rPr>
          <w:rFonts w:hint="default" w:ascii="Times New Roman" w:hAnsi="Times New Roman" w:cs="Times New Roman"/>
        </w:rPr>
      </w:pPr>
      <w:bookmarkStart w:id="110" w:name="_Toc163461465"/>
      <w:bookmarkStart w:id="111" w:name="_Toc159919844"/>
      <w:bookmarkStart w:id="112" w:name="_Toc159919322"/>
      <w:bookmarkStart w:id="113" w:name="_Toc161410765"/>
      <w:bookmarkStart w:id="114" w:name="_Toc163465909"/>
      <w:r>
        <w:rPr>
          <w:rFonts w:hint="default" w:ascii="Times New Roman" w:hAnsi="Times New Roman" w:cs="Times New Roman"/>
        </w:rPr>
        <w:t>运行岗位人员应严格按照有关规程及操作指令操作闸门、启闭设备，禁止擅自操作或不按指令操作。闸门及启闭设备的操作运行应符合SL 722相关规定。</w:t>
      </w:r>
      <w:bookmarkEnd w:id="110"/>
      <w:bookmarkEnd w:id="111"/>
      <w:bookmarkEnd w:id="112"/>
      <w:bookmarkEnd w:id="113"/>
      <w:bookmarkEnd w:id="114"/>
    </w:p>
    <w:p>
      <w:pPr>
        <w:pStyle w:val="159"/>
        <w:rPr>
          <w:rFonts w:hint="default" w:ascii="Times New Roman" w:hAnsi="Times New Roman" w:cs="Times New Roman"/>
        </w:rPr>
      </w:pPr>
      <w:bookmarkStart w:id="115" w:name="_Toc163465910"/>
      <w:bookmarkStart w:id="116" w:name="_Toc161410766"/>
      <w:bookmarkStart w:id="117" w:name="_Toc163461466"/>
      <w:bookmarkStart w:id="118" w:name="_Toc159919323"/>
      <w:bookmarkStart w:id="119" w:name="_Toc159919845"/>
      <w:r>
        <w:rPr>
          <w:rFonts w:hint="default" w:ascii="Times New Roman" w:hAnsi="Times New Roman" w:cs="Times New Roman"/>
        </w:rPr>
        <w:t>闸门等设备操作完成后，应向下达操作指令的相关人员书面报告操作情况。</w:t>
      </w:r>
      <w:bookmarkEnd w:id="115"/>
      <w:bookmarkEnd w:id="116"/>
      <w:bookmarkEnd w:id="117"/>
      <w:bookmarkEnd w:id="118"/>
      <w:bookmarkEnd w:id="119"/>
    </w:p>
    <w:p>
      <w:pPr>
        <w:pStyle w:val="159"/>
        <w:rPr>
          <w:rFonts w:hint="default" w:ascii="Times New Roman" w:hAnsi="Times New Roman" w:cs="Times New Roman"/>
        </w:rPr>
      </w:pPr>
      <w:bookmarkStart w:id="120" w:name="_Toc161410767"/>
      <w:bookmarkStart w:id="121" w:name="_Toc163461467"/>
      <w:bookmarkStart w:id="122" w:name="_Toc163465911"/>
      <w:bookmarkStart w:id="123" w:name="_Toc159919324"/>
      <w:bookmarkStart w:id="124" w:name="_Toc159919846"/>
      <w:r>
        <w:rPr>
          <w:rFonts w:hint="default" w:ascii="Times New Roman" w:hAnsi="Times New Roman" w:cs="Times New Roman"/>
        </w:rPr>
        <w:t>用于防洪调度的闸门处于开启泄洪状态时，应有2 名及以上人员定时开展巡查，实行现场不间断值守。自由溢流的水库泄洪时，应落实专人定时开展巡查。</w:t>
      </w:r>
      <w:bookmarkEnd w:id="120"/>
      <w:bookmarkEnd w:id="121"/>
      <w:bookmarkEnd w:id="122"/>
      <w:bookmarkEnd w:id="123"/>
      <w:bookmarkEnd w:id="124"/>
    </w:p>
    <w:p>
      <w:pPr>
        <w:pStyle w:val="159"/>
        <w:rPr>
          <w:rFonts w:hint="default" w:ascii="Times New Roman" w:hAnsi="Times New Roman" w:cs="Times New Roman"/>
        </w:rPr>
      </w:pPr>
      <w:bookmarkStart w:id="125" w:name="_Toc161410768"/>
      <w:bookmarkStart w:id="126" w:name="_Toc163461468"/>
      <w:bookmarkStart w:id="127" w:name="_Toc163465912"/>
      <w:bookmarkStart w:id="128" w:name="_Toc159919847"/>
      <w:bookmarkStart w:id="129" w:name="_Toc159919325"/>
      <w:r>
        <w:rPr>
          <w:rFonts w:hint="default" w:ascii="Times New Roman" w:hAnsi="Times New Roman" w:cs="Times New Roman"/>
        </w:rPr>
        <w:t>水库放水期间，在以下情况应开展放水预警工作：</w:t>
      </w:r>
      <w:bookmarkEnd w:id="125"/>
      <w:bookmarkEnd w:id="126"/>
      <w:bookmarkEnd w:id="127"/>
      <w:bookmarkEnd w:id="128"/>
      <w:bookmarkEnd w:id="129"/>
    </w:p>
    <w:p>
      <w:pPr>
        <w:pStyle w:val="93"/>
        <w:numPr>
          <w:ilvl w:val="0"/>
          <w:numId w:val="49"/>
        </w:numPr>
        <w:rPr>
          <w:rFonts w:hint="default" w:ascii="Times New Roman" w:hAnsi="Times New Roman" w:cs="Times New Roman"/>
        </w:rPr>
      </w:pPr>
      <w:r>
        <w:rPr>
          <w:rFonts w:hint="default" w:ascii="Times New Roman" w:hAnsi="Times New Roman" w:cs="Times New Roman"/>
        </w:rPr>
        <w:t>有闸门控制的水库，开启闸门泄洪时；</w:t>
      </w:r>
    </w:p>
    <w:p>
      <w:pPr>
        <w:pStyle w:val="93"/>
        <w:rPr>
          <w:rFonts w:hint="default" w:ascii="Times New Roman" w:hAnsi="Times New Roman" w:cs="Times New Roman"/>
        </w:rPr>
      </w:pPr>
      <w:r>
        <w:rPr>
          <w:rFonts w:hint="default" w:ascii="Times New Roman" w:hAnsi="Times New Roman" w:cs="Times New Roman"/>
        </w:rPr>
        <w:t>无闸门控制的水库，泄洪设施可能溢流时；</w:t>
      </w:r>
    </w:p>
    <w:p>
      <w:pPr>
        <w:pStyle w:val="93"/>
        <w:rPr>
          <w:rFonts w:hint="default" w:ascii="Times New Roman" w:hAnsi="Times New Roman" w:cs="Times New Roman"/>
        </w:rPr>
      </w:pPr>
      <w:r>
        <w:rPr>
          <w:rFonts w:hint="default" w:ascii="Times New Roman" w:hAnsi="Times New Roman" w:cs="Times New Roman"/>
        </w:rPr>
        <w:t>放水设施的放水流量或发电尾水可能影响下游安全时。</w:t>
      </w:r>
    </w:p>
    <w:p>
      <w:pPr>
        <w:pStyle w:val="79"/>
        <w:spacing w:before="312" w:after="312"/>
        <w:rPr>
          <w:rFonts w:hint="default" w:ascii="Times New Roman" w:hAnsi="Times New Roman" w:cs="Times New Roman"/>
        </w:rPr>
      </w:pPr>
      <w:bookmarkStart w:id="130" w:name="_Toc501612753"/>
      <w:bookmarkStart w:id="131" w:name="_Toc493773273"/>
      <w:bookmarkStart w:id="132" w:name="_Toc163465913"/>
      <w:r>
        <w:rPr>
          <w:rFonts w:hint="default" w:ascii="Times New Roman" w:hAnsi="Times New Roman" w:cs="Times New Roman"/>
        </w:rPr>
        <w:t>应急</w:t>
      </w:r>
      <w:bookmarkEnd w:id="130"/>
      <w:bookmarkEnd w:id="131"/>
      <w:r>
        <w:rPr>
          <w:rFonts w:hint="default" w:ascii="Times New Roman" w:hAnsi="Times New Roman" w:cs="Times New Roman"/>
        </w:rPr>
        <w:t>服务</w:t>
      </w:r>
      <w:bookmarkEnd w:id="132"/>
    </w:p>
    <w:p>
      <w:pPr>
        <w:pStyle w:val="159"/>
        <w:rPr>
          <w:rFonts w:hint="default" w:ascii="Times New Roman" w:hAnsi="Times New Roman" w:cs="Times New Roman"/>
        </w:rPr>
      </w:pPr>
      <w:bookmarkStart w:id="133" w:name="_Toc159919327"/>
      <w:bookmarkStart w:id="134" w:name="_Toc159919849"/>
      <w:bookmarkStart w:id="135" w:name="_Toc161410770"/>
      <w:bookmarkStart w:id="136" w:name="_Toc163465914"/>
      <w:bookmarkStart w:id="137" w:name="_Toc157087705"/>
      <w:bookmarkStart w:id="138" w:name="_Toc157087545"/>
      <w:bookmarkStart w:id="139" w:name="_Toc163461470"/>
      <w:bookmarkStart w:id="140" w:name="_Toc157087547"/>
      <w:bookmarkStart w:id="141" w:name="_Toc157087707"/>
      <w:r>
        <w:rPr>
          <w:rFonts w:hint="default" w:ascii="Times New Roman" w:hAnsi="Times New Roman" w:cs="Times New Roman"/>
        </w:rPr>
        <w:t>项目部应成立应急工作小组，定期组织开展内部应急演练及参与委托方组织开展的应急演练，并完善相关设施、落实各项措施。</w:t>
      </w:r>
      <w:bookmarkEnd w:id="133"/>
      <w:bookmarkEnd w:id="134"/>
      <w:bookmarkEnd w:id="135"/>
      <w:bookmarkEnd w:id="136"/>
      <w:bookmarkEnd w:id="137"/>
      <w:bookmarkEnd w:id="138"/>
      <w:bookmarkEnd w:id="139"/>
    </w:p>
    <w:p>
      <w:pPr>
        <w:pStyle w:val="159"/>
        <w:rPr>
          <w:rFonts w:hint="default" w:ascii="Times New Roman" w:hAnsi="Times New Roman" w:cs="Times New Roman"/>
        </w:rPr>
      </w:pPr>
      <w:bookmarkStart w:id="142" w:name="_Toc163465915"/>
      <w:bookmarkStart w:id="143" w:name="_Toc163461471"/>
      <w:bookmarkStart w:id="144" w:name="_Toc157087706"/>
      <w:bookmarkStart w:id="145" w:name="_Toc159919850"/>
      <w:bookmarkStart w:id="146" w:name="_Toc157087546"/>
      <w:bookmarkStart w:id="147" w:name="_Toc161410771"/>
      <w:bookmarkStart w:id="148" w:name="_Toc159919328"/>
      <w:r>
        <w:rPr>
          <w:rFonts w:hint="default" w:ascii="Times New Roman" w:hAnsi="Times New Roman" w:cs="Times New Roman"/>
        </w:rPr>
        <w:t>水库防汛抢险设施应定期保养维护，备用电源应每月试运行1 次，梅汛前、台汛前各带负荷试运行1 次，并做好试运行记录。</w:t>
      </w:r>
      <w:bookmarkEnd w:id="142"/>
      <w:bookmarkEnd w:id="143"/>
      <w:bookmarkEnd w:id="144"/>
      <w:bookmarkEnd w:id="145"/>
      <w:bookmarkEnd w:id="146"/>
      <w:bookmarkEnd w:id="147"/>
      <w:bookmarkEnd w:id="148"/>
    </w:p>
    <w:p>
      <w:pPr>
        <w:pStyle w:val="159"/>
        <w:rPr>
          <w:rFonts w:hint="default" w:ascii="Times New Roman" w:hAnsi="Times New Roman" w:cs="Times New Roman"/>
        </w:rPr>
      </w:pPr>
      <w:bookmarkStart w:id="149" w:name="_Toc163461472"/>
      <w:bookmarkStart w:id="150" w:name="_Toc159919851"/>
      <w:bookmarkStart w:id="151" w:name="_Toc161410772"/>
      <w:bookmarkStart w:id="152" w:name="_Toc159919329"/>
      <w:bookmarkStart w:id="153" w:name="_Toc163465916"/>
      <w:r>
        <w:rPr>
          <w:rFonts w:hint="default" w:ascii="Times New Roman" w:hAnsi="Times New Roman" w:cs="Times New Roman"/>
        </w:rPr>
        <w:t>发现险情时，应立即向委托方报告，并启动项目部应急预案，配合做好应急响应及处置工作。</w:t>
      </w:r>
      <w:bookmarkEnd w:id="140"/>
      <w:bookmarkEnd w:id="141"/>
      <w:bookmarkEnd w:id="149"/>
      <w:bookmarkEnd w:id="150"/>
      <w:bookmarkEnd w:id="151"/>
      <w:bookmarkEnd w:id="152"/>
      <w:bookmarkEnd w:id="153"/>
    </w:p>
    <w:p>
      <w:pPr>
        <w:pStyle w:val="79"/>
        <w:spacing w:before="312" w:after="312"/>
        <w:rPr>
          <w:rFonts w:hint="default" w:ascii="Times New Roman" w:hAnsi="Times New Roman" w:cs="Times New Roman"/>
        </w:rPr>
      </w:pPr>
      <w:bookmarkStart w:id="154" w:name="_Toc163465917"/>
      <w:r>
        <w:rPr>
          <w:rFonts w:hint="default" w:ascii="Times New Roman" w:hAnsi="Times New Roman" w:cs="Times New Roman"/>
        </w:rPr>
        <w:t>档案管理</w:t>
      </w:r>
      <w:bookmarkEnd w:id="154"/>
    </w:p>
    <w:p>
      <w:pPr>
        <w:pStyle w:val="159"/>
        <w:rPr>
          <w:rFonts w:hint="default" w:ascii="Times New Roman" w:hAnsi="Times New Roman" w:cs="Times New Roman"/>
        </w:rPr>
      </w:pPr>
      <w:bookmarkStart w:id="155" w:name="_Toc159919331"/>
      <w:bookmarkStart w:id="156" w:name="_Toc157087549"/>
      <w:bookmarkStart w:id="157" w:name="_Toc163465918"/>
      <w:bookmarkStart w:id="158" w:name="_Toc161410774"/>
      <w:bookmarkStart w:id="159" w:name="_Toc157087709"/>
      <w:bookmarkStart w:id="160" w:name="_Toc163461474"/>
      <w:bookmarkStart w:id="161" w:name="_Toc159919853"/>
      <w:bookmarkStart w:id="162" w:name="_Toc157087553"/>
      <w:bookmarkStart w:id="163" w:name="_Toc157087713"/>
      <w:r>
        <w:rPr>
          <w:rFonts w:hint="default" w:ascii="Times New Roman" w:hAnsi="Times New Roman" w:cs="Times New Roman"/>
        </w:rPr>
        <w:t>项目部应对委托期间形成的具有保存价值或合同要求的文字、图表、声像等资料进行立卷归档，立卷归档应符合GB/T 11822、GB/T 18894的要求。</w:t>
      </w:r>
      <w:bookmarkEnd w:id="155"/>
      <w:bookmarkEnd w:id="156"/>
      <w:bookmarkEnd w:id="157"/>
      <w:bookmarkEnd w:id="158"/>
      <w:bookmarkEnd w:id="159"/>
      <w:bookmarkEnd w:id="160"/>
      <w:bookmarkEnd w:id="161"/>
    </w:p>
    <w:p>
      <w:pPr>
        <w:pStyle w:val="159"/>
        <w:rPr>
          <w:rFonts w:hint="default" w:ascii="Times New Roman" w:hAnsi="Times New Roman" w:cs="Times New Roman"/>
        </w:rPr>
      </w:pPr>
      <w:bookmarkStart w:id="164" w:name="_Toc157087711"/>
      <w:bookmarkStart w:id="165" w:name="_Toc159919332"/>
      <w:bookmarkStart w:id="166" w:name="_Toc161410775"/>
      <w:bookmarkStart w:id="167" w:name="_Toc157087551"/>
      <w:bookmarkStart w:id="168" w:name="_Toc163461475"/>
      <w:bookmarkStart w:id="169" w:name="_Toc163465919"/>
      <w:bookmarkStart w:id="170" w:name="_Toc159919854"/>
      <w:r>
        <w:rPr>
          <w:rFonts w:hint="default" w:ascii="Times New Roman" w:hAnsi="Times New Roman" w:cs="Times New Roman"/>
        </w:rPr>
        <w:t>档案资料应有固定的存放地点，由专人负责管理，做到分类清楚、存放有序。</w:t>
      </w:r>
      <w:bookmarkEnd w:id="164"/>
      <w:bookmarkEnd w:id="165"/>
      <w:bookmarkEnd w:id="166"/>
      <w:bookmarkEnd w:id="167"/>
      <w:bookmarkEnd w:id="168"/>
      <w:bookmarkEnd w:id="169"/>
      <w:bookmarkEnd w:id="170"/>
    </w:p>
    <w:p>
      <w:pPr>
        <w:pStyle w:val="159"/>
        <w:rPr>
          <w:rFonts w:hint="default" w:ascii="Times New Roman" w:hAnsi="Times New Roman" w:cs="Times New Roman"/>
        </w:rPr>
      </w:pPr>
      <w:bookmarkStart w:id="171" w:name="_Toc159919855"/>
      <w:bookmarkStart w:id="172" w:name="_Toc157087552"/>
      <w:bookmarkStart w:id="173" w:name="_Toc159919333"/>
      <w:bookmarkStart w:id="174" w:name="_Toc161410776"/>
      <w:bookmarkStart w:id="175" w:name="_Toc163465920"/>
      <w:bookmarkStart w:id="176" w:name="_Toc157087712"/>
      <w:bookmarkStart w:id="177" w:name="_Toc163461476"/>
      <w:r>
        <w:rPr>
          <w:rFonts w:hint="default" w:ascii="Times New Roman" w:hAnsi="Times New Roman" w:cs="Times New Roman"/>
        </w:rPr>
        <w:t>档案资料宜电子化、数字化管理，电子档案应定期进行整理备份。</w:t>
      </w:r>
      <w:bookmarkEnd w:id="171"/>
      <w:bookmarkEnd w:id="172"/>
      <w:bookmarkEnd w:id="173"/>
      <w:bookmarkEnd w:id="174"/>
      <w:bookmarkEnd w:id="175"/>
      <w:bookmarkEnd w:id="176"/>
      <w:bookmarkEnd w:id="177"/>
    </w:p>
    <w:p>
      <w:pPr>
        <w:pStyle w:val="159"/>
        <w:rPr>
          <w:rFonts w:hint="default" w:ascii="Times New Roman" w:hAnsi="Times New Roman" w:cs="Times New Roman"/>
        </w:rPr>
      </w:pPr>
      <w:bookmarkStart w:id="178" w:name="_Toc161410777"/>
      <w:bookmarkStart w:id="179" w:name="_Toc159919334"/>
      <w:bookmarkStart w:id="180" w:name="_Toc163461477"/>
      <w:bookmarkStart w:id="181" w:name="_Toc163465921"/>
      <w:bookmarkStart w:id="182" w:name="_Toc159919856"/>
      <w:r>
        <w:rPr>
          <w:rFonts w:hint="default" w:ascii="Times New Roman" w:hAnsi="Times New Roman" w:cs="Times New Roman"/>
        </w:rPr>
        <w:t>合同期内项目部应根据委托方的要求开展定期和临时档案移交。合同期满，相关档案资料应全部移交委托方。</w:t>
      </w:r>
      <w:bookmarkEnd w:id="162"/>
      <w:bookmarkEnd w:id="163"/>
      <w:bookmarkEnd w:id="178"/>
      <w:bookmarkEnd w:id="179"/>
      <w:bookmarkEnd w:id="180"/>
      <w:bookmarkEnd w:id="181"/>
      <w:bookmarkEnd w:id="182"/>
    </w:p>
    <w:p>
      <w:pPr>
        <w:pStyle w:val="79"/>
        <w:spacing w:before="312" w:after="312"/>
        <w:rPr>
          <w:rFonts w:hint="default" w:ascii="Times New Roman" w:hAnsi="Times New Roman" w:cs="Times New Roman"/>
        </w:rPr>
      </w:pPr>
      <w:bookmarkStart w:id="183" w:name="_Toc163465922"/>
      <w:r>
        <w:rPr>
          <w:rFonts w:hint="default" w:ascii="Times New Roman" w:hAnsi="Times New Roman" w:cs="Times New Roman"/>
        </w:rPr>
        <w:t>数字化服务</w:t>
      </w:r>
      <w:bookmarkEnd w:id="183"/>
    </w:p>
    <w:p>
      <w:pPr>
        <w:pStyle w:val="159"/>
        <w:rPr>
          <w:rFonts w:hint="default" w:ascii="Times New Roman" w:hAnsi="Times New Roman" w:cs="Times New Roman"/>
        </w:rPr>
      </w:pPr>
      <w:bookmarkStart w:id="184" w:name="_Toc161410779"/>
      <w:bookmarkStart w:id="185" w:name="_Toc163465923"/>
      <w:bookmarkStart w:id="186" w:name="_Toc159919336"/>
      <w:bookmarkStart w:id="187" w:name="_Toc159919858"/>
      <w:bookmarkStart w:id="188" w:name="_Toc163461479"/>
      <w:r>
        <w:rPr>
          <w:rFonts w:hint="default" w:ascii="Times New Roman" w:hAnsi="Times New Roman" w:cs="Times New Roman"/>
        </w:rPr>
        <w:t>项目部应根据委托合同要求开展水库工程数据的采集、传输、存储、处理和服务等工作，并按照SL 803的要求加强数据安全保护，保障水库数据安全。</w:t>
      </w:r>
      <w:bookmarkEnd w:id="184"/>
      <w:bookmarkEnd w:id="185"/>
      <w:bookmarkEnd w:id="186"/>
      <w:bookmarkEnd w:id="187"/>
      <w:bookmarkEnd w:id="188"/>
    </w:p>
    <w:p>
      <w:pPr>
        <w:pStyle w:val="159"/>
        <w:rPr>
          <w:rFonts w:hint="default" w:ascii="Times New Roman" w:hAnsi="Times New Roman" w:cs="Times New Roman"/>
        </w:rPr>
      </w:pPr>
      <w:bookmarkStart w:id="189" w:name="_Toc163461480"/>
      <w:bookmarkStart w:id="190" w:name="_Toc161410780"/>
      <w:bookmarkStart w:id="191" w:name="_Toc163465924"/>
      <w:bookmarkStart w:id="192" w:name="_Toc159919337"/>
      <w:bookmarkStart w:id="193" w:name="_Toc159919859"/>
      <w:r>
        <w:rPr>
          <w:rFonts w:hint="default" w:ascii="Times New Roman" w:hAnsi="Times New Roman" w:cs="Times New Roman"/>
        </w:rPr>
        <w:t>数字化管理系统的管理和日常维护应设置专职管理人员负责，发现问题及时处理。</w:t>
      </w:r>
      <w:bookmarkEnd w:id="189"/>
      <w:bookmarkEnd w:id="190"/>
      <w:bookmarkEnd w:id="191"/>
      <w:bookmarkEnd w:id="192"/>
      <w:bookmarkEnd w:id="193"/>
    </w:p>
    <w:p>
      <w:pPr>
        <w:pStyle w:val="159"/>
        <w:rPr>
          <w:rFonts w:hint="default" w:ascii="Times New Roman" w:hAnsi="Times New Roman" w:cs="Times New Roman"/>
        </w:rPr>
      </w:pPr>
      <w:bookmarkStart w:id="194" w:name="_Toc163465925"/>
      <w:bookmarkStart w:id="195" w:name="_Toc159919338"/>
      <w:bookmarkStart w:id="196" w:name="_Toc163461481"/>
      <w:bookmarkStart w:id="197" w:name="_Toc161410781"/>
      <w:bookmarkStart w:id="198" w:name="_Toc159919860"/>
      <w:r>
        <w:rPr>
          <w:rFonts w:hint="default" w:ascii="Times New Roman" w:hAnsi="Times New Roman" w:cs="Times New Roman"/>
        </w:rPr>
        <w:t>根据运行管理需求实时或定期更新水库数据，并保障与上级数据共享和互联互通。</w:t>
      </w:r>
      <w:bookmarkEnd w:id="194"/>
      <w:bookmarkEnd w:id="195"/>
      <w:bookmarkEnd w:id="196"/>
      <w:bookmarkEnd w:id="197"/>
      <w:bookmarkEnd w:id="198"/>
    </w:p>
    <w:p>
      <w:pPr>
        <w:pStyle w:val="159"/>
        <w:tabs>
          <w:tab w:val="center" w:pos="4201"/>
          <w:tab w:val="right" w:leader="dot" w:pos="9298"/>
        </w:tabs>
        <w:rPr>
          <w:rFonts w:hint="default" w:ascii="Times New Roman" w:hAnsi="Times New Roman" w:cs="Times New Roman"/>
        </w:rPr>
      </w:pPr>
      <w:bookmarkStart w:id="199" w:name="_Toc159919339"/>
      <w:bookmarkStart w:id="200" w:name="_Toc159919861"/>
      <w:bookmarkStart w:id="201" w:name="_Toc161410782"/>
      <w:bookmarkStart w:id="202" w:name="_Toc163465926"/>
      <w:bookmarkStart w:id="203" w:name="_Toc163461482"/>
      <w:r>
        <w:rPr>
          <w:rFonts w:hint="default" w:ascii="Times New Roman" w:hAnsi="Times New Roman" w:cs="Times New Roman"/>
        </w:rPr>
        <w:t>水库数据宜每3 个月不少于1 次进行备份保存，实现重要数据备份与恢复。</w:t>
      </w:r>
      <w:bookmarkEnd w:id="199"/>
      <w:bookmarkEnd w:id="200"/>
      <w:bookmarkEnd w:id="201"/>
      <w:bookmarkEnd w:id="202"/>
      <w:bookmarkEnd w:id="203"/>
    </w:p>
    <w:p>
      <w:pPr>
        <w:widowControl/>
        <w:jc w:val="left"/>
        <w:rPr>
          <w:rFonts w:hint="default" w:ascii="Times New Roman" w:hAnsi="Times New Roman" w:eastAsia="黑体" w:cs="Times New Roman"/>
          <w:kern w:val="0"/>
        </w:rPr>
        <w:sectPr>
          <w:footerReference r:id="rId10" w:type="default"/>
          <w:footerReference r:id="rId11" w:type="even"/>
          <w:pgSz w:w="11906" w:h="16838"/>
          <w:pgMar w:top="1134" w:right="1134" w:bottom="1134" w:left="1418" w:header="1134" w:footer="1134" w:gutter="0"/>
          <w:pgNumType w:start="1"/>
          <w:cols w:space="425" w:num="1"/>
          <w:formProt w:val="0"/>
          <w:docGrid w:type="lines" w:linePitch="312" w:charSpace="0"/>
        </w:sectPr>
      </w:pPr>
    </w:p>
    <w:p>
      <w:pPr>
        <w:pStyle w:val="203"/>
        <w:spacing w:before="78" w:after="156"/>
        <w:rPr>
          <w:rFonts w:hint="default" w:ascii="Times New Roman" w:hAnsi="Times New Roman" w:cs="Times New Roman"/>
        </w:rPr>
      </w:pPr>
      <w:bookmarkStart w:id="204" w:name="_Toc163465927"/>
      <w:r>
        <w:rPr>
          <w:rFonts w:hint="default" w:ascii="Times New Roman" w:hAnsi="Times New Roman" w:cs="Times New Roman"/>
        </w:rPr>
        <w:t>附录A</w:t>
      </w:r>
      <w:r>
        <w:rPr>
          <w:rFonts w:hint="default" w:ascii="Times New Roman" w:hAnsi="Times New Roman" w:cs="Times New Roman"/>
        </w:rPr>
        <w:br w:type="textWrapping"/>
      </w:r>
      <w:bookmarkStart w:id="205" w:name="_Toc88569652"/>
      <w:bookmarkStart w:id="206" w:name="_Toc151479289"/>
      <w:bookmarkStart w:id="207" w:name="_Toc89782713"/>
      <w:r>
        <w:rPr>
          <w:rFonts w:hint="default" w:ascii="Times New Roman" w:hAnsi="Times New Roman" w:cs="Times New Roman"/>
        </w:rPr>
        <w:t>（规范性附录）</w:t>
      </w:r>
      <w:r>
        <w:rPr>
          <w:rFonts w:hint="default" w:ascii="Times New Roman" w:hAnsi="Times New Roman" w:cs="Times New Roman"/>
        </w:rPr>
        <w:br w:type="textWrapping"/>
      </w:r>
      <w:bookmarkEnd w:id="205"/>
      <w:bookmarkEnd w:id="206"/>
      <w:bookmarkEnd w:id="207"/>
      <w:r>
        <w:rPr>
          <w:rFonts w:hint="default" w:ascii="Times New Roman" w:hAnsi="Times New Roman" w:cs="Times New Roman"/>
        </w:rPr>
        <w:t>岗位设置</w:t>
      </w:r>
      <w:bookmarkEnd w:id="204"/>
    </w:p>
    <w:p>
      <w:pPr>
        <w:widowControl/>
        <w:tabs>
          <w:tab w:val="center" w:pos="4201"/>
          <w:tab w:val="right" w:leader="dot" w:pos="9298"/>
        </w:tabs>
        <w:autoSpaceDE w:val="0"/>
        <w:autoSpaceDN w:val="0"/>
        <w:ind w:firstLine="420" w:firstLineChars="200"/>
        <w:rPr>
          <w:rFonts w:hint="default" w:ascii="Times New Roman" w:hAnsi="Times New Roman" w:cs="Times New Roman"/>
          <w:kern w:val="0"/>
        </w:rPr>
      </w:pPr>
      <w:r>
        <w:rPr>
          <w:rFonts w:hint="default" w:ascii="Times New Roman" w:hAnsi="Times New Roman" w:cs="Times New Roman"/>
          <w:kern w:val="0"/>
        </w:rPr>
        <w:t>表A.1给出了单个水库工程管理岗位设置及人员数量要求。当采用</w:t>
      </w:r>
      <w:r>
        <w:rPr>
          <w:rFonts w:hint="default" w:ascii="Times New Roman" w:hAnsi="Times New Roman" w:cs="Times New Roman"/>
        </w:rPr>
        <w:t>分片集中式</w:t>
      </w:r>
      <w:r>
        <w:rPr>
          <w:rFonts w:hint="default" w:ascii="Times New Roman" w:hAnsi="Times New Roman" w:cs="Times New Roman"/>
          <w:kern w:val="0"/>
        </w:rPr>
        <w:t>管理多个水库时，岗位人员数量</w:t>
      </w:r>
      <w:r>
        <w:rPr>
          <w:rFonts w:hint="default" w:ascii="Times New Roman" w:hAnsi="Times New Roman" w:cs="Times New Roman"/>
        </w:rPr>
        <w:t>可根据管理的水库数量、交通条件等统筹确定。</w:t>
      </w:r>
    </w:p>
    <w:p>
      <w:pPr>
        <w:widowControl/>
        <w:spacing w:beforeLines="50" w:afterLines="50"/>
        <w:jc w:val="center"/>
        <w:outlineLvl w:val="2"/>
        <w:rPr>
          <w:rFonts w:hint="default" w:ascii="Times New Roman" w:hAnsi="Times New Roman" w:eastAsia="黑体" w:cs="Times New Roman"/>
          <w:kern w:val="0"/>
        </w:rPr>
      </w:pPr>
      <w:bookmarkStart w:id="208" w:name="_Toc159919863"/>
      <w:bookmarkStart w:id="209" w:name="_Toc157087555"/>
      <w:bookmarkStart w:id="210" w:name="_Toc161410784"/>
      <w:bookmarkStart w:id="211" w:name="_Toc163465928"/>
      <w:bookmarkStart w:id="212" w:name="_Toc157087715"/>
      <w:bookmarkStart w:id="213" w:name="_Toc163461484"/>
      <w:r>
        <w:rPr>
          <w:rFonts w:hint="default" w:ascii="Times New Roman" w:hAnsi="Times New Roman" w:eastAsia="黑体" w:cs="Times New Roman"/>
          <w:kern w:val="0"/>
        </w:rPr>
        <w:t>表A.1 岗位设置及人员数量要求</w:t>
      </w:r>
      <w:bookmarkEnd w:id="208"/>
      <w:bookmarkEnd w:id="209"/>
      <w:bookmarkEnd w:id="210"/>
      <w:bookmarkEnd w:id="211"/>
      <w:bookmarkEnd w:id="212"/>
      <w:bookmarkEnd w:id="213"/>
    </w:p>
    <w:tbl>
      <w:tblPr>
        <w:tblStyle w:val="45"/>
        <w:tblW w:w="900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2251"/>
        <w:gridCol w:w="4695"/>
        <w:gridCol w:w="206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617" w:hRule="atLeast"/>
          <w:jc w:val="center"/>
        </w:trPr>
        <w:tc>
          <w:tcPr>
            <w:tcW w:w="2251" w:type="dxa"/>
            <w:tcBorders>
              <w:top w:val="single" w:color="auto" w:sz="4" w:space="0"/>
            </w:tcBorders>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岗位名称</w:t>
            </w:r>
          </w:p>
        </w:tc>
        <w:tc>
          <w:tcPr>
            <w:tcW w:w="4695" w:type="dxa"/>
            <w:tcBorders>
              <w:top w:val="single" w:color="auto" w:sz="4" w:space="0"/>
            </w:tcBorders>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岗位要求</w:t>
            </w:r>
          </w:p>
        </w:tc>
        <w:tc>
          <w:tcPr>
            <w:tcW w:w="2062" w:type="dxa"/>
            <w:tcBorders>
              <w:top w:val="single" w:color="auto" w:sz="4" w:space="0"/>
            </w:tcBorders>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人员数量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748" w:hRule="atLeast"/>
          <w:jc w:val="center"/>
        </w:trPr>
        <w:tc>
          <w:tcPr>
            <w:tcW w:w="2251" w:type="dxa"/>
            <w:vAlign w:val="center"/>
          </w:tcPr>
          <w:p>
            <w:pPr>
              <w:adjustRightInd w:val="0"/>
              <w:snapToGrid w:val="0"/>
              <w:ind w:firstLine="126"/>
              <w:jc w:val="center"/>
              <w:rPr>
                <w:rFonts w:hint="default" w:ascii="Times New Roman" w:hAnsi="Times New Roman" w:cs="Times New Roman"/>
                <w:sz w:val="18"/>
                <w:szCs w:val="18"/>
              </w:rPr>
            </w:pPr>
            <w:r>
              <w:rPr>
                <w:rFonts w:hint="default" w:ascii="Times New Roman" w:hAnsi="Times New Roman" w:cs="Times New Roman"/>
                <w:sz w:val="18"/>
                <w:szCs w:val="18"/>
              </w:rPr>
              <w:t>负责岗位</w:t>
            </w:r>
          </w:p>
        </w:tc>
        <w:tc>
          <w:tcPr>
            <w:tcW w:w="4695" w:type="dxa"/>
            <w:tcMar>
              <w:left w:w="108" w:type="dxa"/>
              <w:right w:w="108" w:type="dxa"/>
            </w:tcMar>
            <w:vAlign w:val="center"/>
          </w:tcPr>
          <w:p>
            <w:pPr>
              <w:pStyle w:val="19"/>
              <w:adjustRightInd/>
              <w:spacing w:after="0" w:line="240" w:lineRule="auto"/>
              <w:rPr>
                <w:rFonts w:hint="default" w:ascii="Times New Roman" w:hAnsi="Times New Roman" w:cs="Times New Roman"/>
                <w:spacing w:val="-1"/>
                <w:sz w:val="18"/>
                <w:szCs w:val="18"/>
              </w:rPr>
            </w:pPr>
            <w:r>
              <w:rPr>
                <w:rFonts w:hint="default" w:ascii="Times New Roman" w:hAnsi="Times New Roman" w:cs="Times New Roman"/>
                <w:spacing w:val="-1"/>
                <w:sz w:val="18"/>
                <w:szCs w:val="18"/>
              </w:rPr>
              <w:t>取得初级及以上专业技术职称任职资格或从事水利工作3 年以上。</w:t>
            </w:r>
          </w:p>
        </w:tc>
        <w:tc>
          <w:tcPr>
            <w:tcW w:w="2062" w:type="dxa"/>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1～2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701" w:hRule="atLeast"/>
          <w:jc w:val="center"/>
        </w:trPr>
        <w:tc>
          <w:tcPr>
            <w:tcW w:w="2251" w:type="dxa"/>
            <w:vAlign w:val="center"/>
          </w:tcPr>
          <w:p>
            <w:pPr>
              <w:adjustRightInd w:val="0"/>
              <w:snapToGrid w:val="0"/>
              <w:ind w:firstLine="126"/>
              <w:jc w:val="center"/>
              <w:rPr>
                <w:rFonts w:hint="default" w:ascii="Times New Roman" w:hAnsi="Times New Roman" w:cs="Times New Roman"/>
                <w:sz w:val="18"/>
                <w:szCs w:val="18"/>
              </w:rPr>
            </w:pPr>
            <w:r>
              <w:rPr>
                <w:rFonts w:hint="default" w:ascii="Times New Roman" w:hAnsi="Times New Roman" w:cs="Times New Roman"/>
                <w:sz w:val="18"/>
                <w:szCs w:val="18"/>
              </w:rPr>
              <w:t>工程技术管理岗位</w:t>
            </w:r>
          </w:p>
        </w:tc>
        <w:tc>
          <w:tcPr>
            <w:tcW w:w="4695" w:type="dxa"/>
            <w:tcMar>
              <w:left w:w="108" w:type="dxa"/>
              <w:right w:w="108" w:type="dxa"/>
            </w:tcMar>
            <w:vAlign w:val="center"/>
          </w:tcPr>
          <w:p>
            <w:pPr>
              <w:pStyle w:val="19"/>
              <w:adjustRightInd/>
              <w:spacing w:after="0" w:line="240" w:lineRule="auto"/>
              <w:rPr>
                <w:rFonts w:hint="default" w:ascii="Times New Roman" w:hAnsi="Times New Roman" w:cs="Times New Roman"/>
                <w:spacing w:val="-1"/>
                <w:sz w:val="18"/>
                <w:szCs w:val="18"/>
              </w:rPr>
            </w:pPr>
            <w:r>
              <w:rPr>
                <w:rFonts w:hint="default" w:ascii="Times New Roman" w:hAnsi="Times New Roman" w:cs="Times New Roman"/>
                <w:spacing w:val="-1"/>
                <w:sz w:val="18"/>
                <w:szCs w:val="18"/>
              </w:rPr>
              <w:t>取得初级及以上专业技术职称任职资格或从事水利工作3 年以上。</w:t>
            </w:r>
          </w:p>
        </w:tc>
        <w:tc>
          <w:tcPr>
            <w:tcW w:w="2062" w:type="dxa"/>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1～2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817" w:hRule="atLeast"/>
          <w:jc w:val="center"/>
        </w:trPr>
        <w:tc>
          <w:tcPr>
            <w:tcW w:w="2251" w:type="dxa"/>
            <w:vAlign w:val="center"/>
          </w:tcPr>
          <w:p>
            <w:pPr>
              <w:adjustRightInd w:val="0"/>
              <w:snapToGrid w:val="0"/>
              <w:ind w:firstLine="126"/>
              <w:jc w:val="center"/>
              <w:rPr>
                <w:rFonts w:hint="default" w:ascii="Times New Roman" w:hAnsi="Times New Roman" w:cs="Times New Roman"/>
                <w:sz w:val="18"/>
                <w:szCs w:val="18"/>
              </w:rPr>
            </w:pPr>
            <w:r>
              <w:rPr>
                <w:rFonts w:hint="default" w:ascii="Times New Roman" w:hAnsi="Times New Roman" w:cs="Times New Roman"/>
                <w:sz w:val="18"/>
                <w:szCs w:val="18"/>
              </w:rPr>
              <w:t>工程运行与维护岗位</w:t>
            </w:r>
          </w:p>
        </w:tc>
        <w:tc>
          <w:tcPr>
            <w:tcW w:w="4695" w:type="dxa"/>
            <w:tcMar>
              <w:left w:w="108" w:type="dxa"/>
              <w:right w:w="108" w:type="dxa"/>
            </w:tcMar>
            <w:vAlign w:val="center"/>
          </w:tcPr>
          <w:p>
            <w:pPr>
              <w:pStyle w:val="19"/>
              <w:adjustRightInd/>
              <w:spacing w:after="0" w:line="240" w:lineRule="auto"/>
              <w:rPr>
                <w:rFonts w:hint="default" w:ascii="Times New Roman" w:hAnsi="Times New Roman" w:cs="Times New Roman"/>
                <w:spacing w:val="-1"/>
                <w:sz w:val="18"/>
                <w:szCs w:val="18"/>
              </w:rPr>
            </w:pPr>
            <w:r>
              <w:rPr>
                <w:rFonts w:hint="default" w:ascii="Times New Roman" w:hAnsi="Times New Roman" w:cs="Times New Roman"/>
                <w:spacing w:val="-1"/>
                <w:sz w:val="18"/>
                <w:szCs w:val="18"/>
              </w:rPr>
              <w:t>取得初级工及以上技术等级资格。</w:t>
            </w:r>
          </w:p>
        </w:tc>
        <w:tc>
          <w:tcPr>
            <w:tcW w:w="2062" w:type="dxa"/>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1～3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cantSplit/>
          <w:trHeight w:val="817" w:hRule="atLeast"/>
          <w:jc w:val="center"/>
        </w:trPr>
        <w:tc>
          <w:tcPr>
            <w:tcW w:w="2251" w:type="dxa"/>
            <w:tcBorders>
              <w:bottom w:val="single" w:color="auto" w:sz="4" w:space="0"/>
            </w:tcBorders>
            <w:vAlign w:val="center"/>
          </w:tcPr>
          <w:p>
            <w:pPr>
              <w:adjustRightInd w:val="0"/>
              <w:snapToGrid w:val="0"/>
              <w:ind w:firstLine="126"/>
              <w:jc w:val="center"/>
              <w:rPr>
                <w:rFonts w:hint="default" w:ascii="Times New Roman" w:hAnsi="Times New Roman" w:cs="Times New Roman"/>
                <w:sz w:val="18"/>
                <w:szCs w:val="18"/>
              </w:rPr>
            </w:pPr>
            <w:r>
              <w:rPr>
                <w:rFonts w:hint="default" w:ascii="Times New Roman" w:hAnsi="Times New Roman" w:cs="Times New Roman"/>
                <w:sz w:val="18"/>
                <w:szCs w:val="18"/>
              </w:rPr>
              <w:t>辅助类</w:t>
            </w:r>
          </w:p>
        </w:tc>
        <w:tc>
          <w:tcPr>
            <w:tcW w:w="4695" w:type="dxa"/>
            <w:tcBorders>
              <w:bottom w:val="single" w:color="auto" w:sz="4" w:space="0"/>
            </w:tcBorders>
            <w:tcMar>
              <w:left w:w="108" w:type="dxa"/>
              <w:right w:w="108" w:type="dxa"/>
            </w:tcMar>
            <w:vAlign w:val="center"/>
          </w:tcPr>
          <w:p>
            <w:pPr>
              <w:pStyle w:val="19"/>
              <w:adjustRightInd/>
              <w:spacing w:after="0" w:line="240" w:lineRule="auto"/>
              <w:rPr>
                <w:rFonts w:hint="default" w:ascii="Times New Roman" w:hAnsi="Times New Roman" w:cs="Times New Roman"/>
                <w:spacing w:val="-1"/>
                <w:sz w:val="18"/>
                <w:szCs w:val="18"/>
              </w:rPr>
            </w:pPr>
            <w:r>
              <w:rPr>
                <w:rFonts w:hint="default" w:ascii="Times New Roman" w:hAnsi="Times New Roman" w:cs="Times New Roman"/>
                <w:spacing w:val="-1"/>
                <w:sz w:val="18"/>
                <w:szCs w:val="18"/>
              </w:rPr>
              <w:t>根据需要确定。</w:t>
            </w:r>
          </w:p>
        </w:tc>
        <w:tc>
          <w:tcPr>
            <w:tcW w:w="2062" w:type="dxa"/>
            <w:tcBorders>
              <w:bottom w:val="single" w:color="auto" w:sz="4" w:space="0"/>
            </w:tcBorders>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(0.2～0.3)×以上各岗位人数总和</w:t>
            </w:r>
          </w:p>
        </w:tc>
      </w:tr>
    </w:tbl>
    <w:p>
      <w:pPr>
        <w:pStyle w:val="203"/>
        <w:spacing w:before="78" w:after="156"/>
        <w:rPr>
          <w:rFonts w:hint="default" w:ascii="Times New Roman" w:hAnsi="Times New Roman" w:cs="Times New Roman"/>
        </w:rPr>
        <w:sectPr>
          <w:pgSz w:w="11906" w:h="16838"/>
          <w:pgMar w:top="1134" w:right="1134" w:bottom="1134" w:left="1418" w:header="1134" w:footer="1134" w:gutter="0"/>
          <w:cols w:space="425" w:num="1"/>
          <w:formProt w:val="0"/>
          <w:docGrid w:type="lines" w:linePitch="312" w:charSpace="0"/>
        </w:sectPr>
      </w:pPr>
    </w:p>
    <w:p>
      <w:pPr>
        <w:pStyle w:val="203"/>
        <w:spacing w:before="78" w:after="156"/>
        <w:rPr>
          <w:rFonts w:hint="default" w:ascii="Times New Roman" w:hAnsi="Times New Roman" w:cs="Times New Roman"/>
        </w:rPr>
      </w:pPr>
      <w:bookmarkStart w:id="214" w:name="_Toc163465929"/>
      <w:r>
        <w:rPr>
          <w:rFonts w:hint="default" w:ascii="Times New Roman" w:hAnsi="Times New Roman" w:cs="Times New Roman"/>
        </w:rPr>
        <w:t>附录B</w:t>
      </w:r>
      <w:r>
        <w:rPr>
          <w:rFonts w:hint="default" w:ascii="Times New Roman" w:hAnsi="Times New Roman" w:cs="Times New Roman"/>
        </w:rPr>
        <w:br w:type="textWrapping"/>
      </w:r>
      <w:r>
        <w:rPr>
          <w:rFonts w:hint="default" w:ascii="Times New Roman" w:hAnsi="Times New Roman" w:cs="Times New Roman"/>
        </w:rPr>
        <w:t>（规范性附录）</w:t>
      </w:r>
      <w:r>
        <w:rPr>
          <w:rFonts w:hint="default" w:ascii="Times New Roman" w:hAnsi="Times New Roman" w:cs="Times New Roman"/>
        </w:rPr>
        <w:br w:type="textWrapping"/>
      </w:r>
      <w:r>
        <w:rPr>
          <w:rFonts w:hint="default" w:ascii="Times New Roman" w:hAnsi="Times New Roman" w:cs="Times New Roman"/>
        </w:rPr>
        <w:t>日常巡查频次</w:t>
      </w:r>
      <w:bookmarkEnd w:id="214"/>
    </w:p>
    <w:p>
      <w:pPr>
        <w:pStyle w:val="34"/>
        <w:rPr>
          <w:rFonts w:hint="default" w:ascii="Times New Roman" w:hAnsi="Times New Roman" w:cs="Times New Roman"/>
        </w:rPr>
      </w:pPr>
      <w:r>
        <w:rPr>
          <w:rFonts w:hint="default" w:ascii="Times New Roman" w:hAnsi="Times New Roman" w:cs="Times New Roman"/>
        </w:rPr>
        <w:t>表B.1给出了水库日常巡查频次的要求。</w:t>
      </w:r>
    </w:p>
    <w:p>
      <w:pPr>
        <w:widowControl/>
        <w:spacing w:beforeLines="50" w:afterLines="50"/>
        <w:jc w:val="center"/>
        <w:outlineLvl w:val="2"/>
        <w:rPr>
          <w:rFonts w:hint="default" w:ascii="Times New Roman" w:hAnsi="Times New Roman" w:eastAsia="黑体" w:cs="Times New Roman"/>
          <w:kern w:val="0"/>
        </w:rPr>
      </w:pPr>
      <w:bookmarkStart w:id="215" w:name="_Toc163465930"/>
      <w:bookmarkStart w:id="216" w:name="_Toc152683783"/>
      <w:bookmarkStart w:id="217" w:name="_Toc159919343"/>
      <w:bookmarkStart w:id="218" w:name="_Toc157087717"/>
      <w:bookmarkStart w:id="219" w:name="_Toc157087557"/>
      <w:bookmarkStart w:id="220" w:name="_Toc149559766"/>
      <w:bookmarkStart w:id="221" w:name="_Toc533756540"/>
      <w:bookmarkStart w:id="222" w:name="_Toc163461486"/>
      <w:bookmarkStart w:id="223" w:name="_Toc533756497"/>
      <w:bookmarkStart w:id="224" w:name="_Toc8709"/>
      <w:bookmarkStart w:id="225" w:name="_Toc159919865"/>
      <w:bookmarkStart w:id="226" w:name="_Toc161410786"/>
      <w:bookmarkStart w:id="227" w:name="_Toc152685362"/>
      <w:bookmarkStart w:id="228" w:name="_Toc493773136"/>
      <w:bookmarkStart w:id="229" w:name="_Toc493773285"/>
      <w:bookmarkStart w:id="230" w:name="_Toc148882812"/>
      <w:r>
        <w:rPr>
          <w:rFonts w:hint="default" w:ascii="Times New Roman" w:hAnsi="Times New Roman" w:eastAsia="黑体" w:cs="Times New Roman"/>
          <w:kern w:val="0"/>
        </w:rPr>
        <w:t>表B.1 日常巡查频次表</w:t>
      </w:r>
      <w:bookmarkEnd w:id="215"/>
      <w:bookmarkEnd w:id="216"/>
      <w:bookmarkEnd w:id="217"/>
      <w:bookmarkEnd w:id="218"/>
      <w:bookmarkEnd w:id="219"/>
      <w:bookmarkEnd w:id="220"/>
      <w:bookmarkEnd w:id="221"/>
      <w:bookmarkEnd w:id="222"/>
      <w:bookmarkEnd w:id="223"/>
      <w:bookmarkEnd w:id="224"/>
      <w:bookmarkEnd w:id="225"/>
      <w:bookmarkEnd w:id="226"/>
      <w:bookmarkEnd w:id="227"/>
    </w:p>
    <w:tbl>
      <w:tblPr>
        <w:tblStyle w:val="45"/>
        <w:tblW w:w="9317" w:type="dxa"/>
        <w:jc w:val="center"/>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1116"/>
        <w:gridCol w:w="897"/>
        <w:gridCol w:w="940"/>
        <w:gridCol w:w="940"/>
        <w:gridCol w:w="2772"/>
        <w:gridCol w:w="2652"/>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407" w:hRule="atLeast"/>
          <w:jc w:val="center"/>
        </w:trPr>
        <w:tc>
          <w:tcPr>
            <w:tcW w:w="1116" w:type="dxa"/>
            <w:tcBorders>
              <w:top w:val="single" w:color="000000" w:sz="4" w:space="0"/>
              <w:left w:val="single" w:color="000000" w:sz="4" w:space="0"/>
              <w:bottom w:val="single" w:color="000000" w:sz="4" w:space="0"/>
            </w:tcBorders>
            <w:vAlign w:val="center"/>
          </w:tcPr>
          <w:p>
            <w:pPr>
              <w:adjustRightInd w:val="0"/>
              <w:snapToGrid w:val="0"/>
              <w:jc w:val="center"/>
              <w:rPr>
                <w:rFonts w:hint="default" w:ascii="Times New Roman" w:hAnsi="Times New Roman" w:cs="Times New Roman"/>
                <w:sz w:val="18"/>
                <w:szCs w:val="18"/>
              </w:rPr>
            </w:pPr>
          </w:p>
        </w:tc>
        <w:tc>
          <w:tcPr>
            <w:tcW w:w="2777" w:type="dxa"/>
            <w:gridSpan w:val="3"/>
            <w:tcBorders>
              <w:top w:val="single" w:color="000000" w:sz="4" w:space="0"/>
              <w:bottom w:val="single" w:color="000000" w:sz="4" w:space="0"/>
            </w:tcBorders>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水库类型、坝型</w:t>
            </w:r>
          </w:p>
        </w:tc>
        <w:tc>
          <w:tcPr>
            <w:tcW w:w="2772" w:type="dxa"/>
            <w:tcBorders>
              <w:top w:val="single" w:color="000000" w:sz="4" w:space="0"/>
              <w:bottom w:val="single" w:color="000000" w:sz="4" w:space="0"/>
            </w:tcBorders>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水位运行条件</w:t>
            </w:r>
          </w:p>
        </w:tc>
        <w:tc>
          <w:tcPr>
            <w:tcW w:w="2652" w:type="dxa"/>
            <w:tcBorders>
              <w:top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巡查频次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663" w:hRule="atLeast"/>
          <w:jc w:val="center"/>
        </w:trPr>
        <w:tc>
          <w:tcPr>
            <w:tcW w:w="1116" w:type="dxa"/>
            <w:tcBorders>
              <w:top w:val="single" w:color="000000" w:sz="4" w:space="0"/>
              <w:left w:val="single" w:color="000000" w:sz="4" w:space="0"/>
              <w:bottom w:val="single" w:color="000000" w:sz="4" w:space="0"/>
            </w:tcBorders>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汛期</w:t>
            </w:r>
          </w:p>
        </w:tc>
        <w:tc>
          <w:tcPr>
            <w:tcW w:w="2777" w:type="dxa"/>
            <w:gridSpan w:val="3"/>
            <w:tcBorders>
              <w:top w:val="single" w:color="000000" w:sz="4" w:space="0"/>
              <w:bottom w:val="single" w:color="000000" w:sz="4" w:space="0"/>
            </w:tcBorders>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2772" w:type="dxa"/>
            <w:tcBorders>
              <w:top w:val="single" w:color="000000" w:sz="4" w:space="0"/>
              <w:bottom w:val="single" w:color="000000" w:sz="4" w:space="0"/>
            </w:tcBorders>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2652" w:type="dxa"/>
            <w:tcBorders>
              <w:top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每天不少于1 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407" w:hRule="atLeast"/>
          <w:jc w:val="center"/>
        </w:trPr>
        <w:tc>
          <w:tcPr>
            <w:tcW w:w="1116" w:type="dxa"/>
            <w:vMerge w:val="restart"/>
            <w:tcBorders>
              <w:top w:val="single" w:color="000000" w:sz="4" w:space="0"/>
              <w:left w:val="single" w:color="000000" w:sz="4" w:space="0"/>
              <w:bottom w:val="single" w:color="000000" w:sz="4" w:space="0"/>
            </w:tcBorders>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非汛期</w:t>
            </w:r>
          </w:p>
        </w:tc>
        <w:tc>
          <w:tcPr>
            <w:tcW w:w="897" w:type="dxa"/>
            <w:vMerge w:val="restart"/>
            <w:tcBorders>
              <w:top w:val="single" w:color="000000" w:sz="4" w:space="0"/>
              <w:bottom w:val="single" w:color="000000" w:sz="4" w:space="0"/>
            </w:tcBorders>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山区、丘陵地区水库</w:t>
            </w:r>
          </w:p>
        </w:tc>
        <w:tc>
          <w:tcPr>
            <w:tcW w:w="1880" w:type="dxa"/>
            <w:gridSpan w:val="2"/>
            <w:vMerge w:val="restart"/>
            <w:tcBorders>
              <w:top w:val="single" w:color="000000" w:sz="4" w:space="0"/>
              <w:bottom w:val="single" w:color="000000" w:sz="4" w:space="0"/>
            </w:tcBorders>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土石坝</w:t>
            </w:r>
          </w:p>
        </w:tc>
        <w:tc>
          <w:tcPr>
            <w:tcW w:w="2772" w:type="dxa"/>
            <w:tcBorders>
              <w:top w:val="single" w:color="000000" w:sz="4" w:space="0"/>
              <w:bottom w:val="single" w:color="000000" w:sz="4" w:space="0"/>
            </w:tcBorders>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低于控制水位</w:t>
            </w:r>
          </w:p>
        </w:tc>
        <w:tc>
          <w:tcPr>
            <w:tcW w:w="2652" w:type="dxa"/>
            <w:tcBorders>
              <w:top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每5 天不少于1 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407" w:hRule="atLeast"/>
          <w:jc w:val="center"/>
        </w:trPr>
        <w:tc>
          <w:tcPr>
            <w:tcW w:w="1116" w:type="dxa"/>
            <w:vMerge w:val="continue"/>
            <w:tcBorders>
              <w:top w:val="single" w:color="000000" w:sz="4" w:space="0"/>
              <w:left w:val="single" w:color="000000" w:sz="4" w:space="0"/>
              <w:bottom w:val="single" w:color="000000" w:sz="4" w:space="0"/>
            </w:tcBorders>
            <w:vAlign w:val="center"/>
          </w:tcPr>
          <w:p>
            <w:pPr>
              <w:adjustRightInd w:val="0"/>
              <w:snapToGrid w:val="0"/>
              <w:jc w:val="center"/>
              <w:rPr>
                <w:rFonts w:hint="default" w:ascii="Times New Roman" w:hAnsi="Times New Roman" w:cs="Times New Roman"/>
                <w:sz w:val="18"/>
                <w:szCs w:val="18"/>
              </w:rPr>
            </w:pPr>
          </w:p>
        </w:tc>
        <w:tc>
          <w:tcPr>
            <w:tcW w:w="897" w:type="dxa"/>
            <w:vMerge w:val="continue"/>
            <w:tcBorders>
              <w:top w:val="single" w:color="000000" w:sz="4" w:space="0"/>
              <w:bottom w:val="single" w:color="000000" w:sz="4" w:space="0"/>
            </w:tcBorders>
            <w:vAlign w:val="center"/>
          </w:tcPr>
          <w:p>
            <w:pPr>
              <w:adjustRightInd w:val="0"/>
              <w:snapToGrid w:val="0"/>
              <w:jc w:val="center"/>
              <w:rPr>
                <w:rFonts w:hint="default" w:ascii="Times New Roman" w:hAnsi="Times New Roman" w:cs="Times New Roman"/>
                <w:sz w:val="18"/>
                <w:szCs w:val="18"/>
              </w:rPr>
            </w:pPr>
          </w:p>
        </w:tc>
        <w:tc>
          <w:tcPr>
            <w:tcW w:w="1880" w:type="dxa"/>
            <w:gridSpan w:val="2"/>
            <w:vMerge w:val="continue"/>
            <w:tcBorders>
              <w:top w:val="single" w:color="000000" w:sz="4" w:space="0"/>
              <w:bottom w:val="single" w:color="000000" w:sz="4" w:space="0"/>
            </w:tcBorders>
            <w:vAlign w:val="center"/>
          </w:tcPr>
          <w:p>
            <w:pPr>
              <w:adjustRightInd w:val="0"/>
              <w:snapToGrid w:val="0"/>
              <w:jc w:val="center"/>
              <w:rPr>
                <w:rFonts w:hint="default" w:ascii="Times New Roman" w:hAnsi="Times New Roman" w:cs="Times New Roman"/>
                <w:sz w:val="18"/>
                <w:szCs w:val="18"/>
              </w:rPr>
            </w:pPr>
          </w:p>
        </w:tc>
        <w:tc>
          <w:tcPr>
            <w:tcW w:w="2772" w:type="dxa"/>
            <w:tcBorders>
              <w:top w:val="single" w:color="000000" w:sz="4" w:space="0"/>
              <w:bottom w:val="single" w:color="000000" w:sz="4" w:space="0"/>
            </w:tcBorders>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超过控制水位</w:t>
            </w:r>
          </w:p>
        </w:tc>
        <w:tc>
          <w:tcPr>
            <w:tcW w:w="2652" w:type="dxa"/>
            <w:tcBorders>
              <w:top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每天不少于1 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407" w:hRule="atLeast"/>
          <w:jc w:val="center"/>
        </w:trPr>
        <w:tc>
          <w:tcPr>
            <w:tcW w:w="1116" w:type="dxa"/>
            <w:vMerge w:val="continue"/>
            <w:tcBorders>
              <w:top w:val="single" w:color="000000" w:sz="4" w:space="0"/>
              <w:left w:val="single" w:color="000000" w:sz="4" w:space="0"/>
              <w:bottom w:val="single" w:color="000000" w:sz="4" w:space="0"/>
            </w:tcBorders>
            <w:vAlign w:val="center"/>
          </w:tcPr>
          <w:p>
            <w:pPr>
              <w:adjustRightInd w:val="0"/>
              <w:snapToGrid w:val="0"/>
              <w:jc w:val="center"/>
              <w:rPr>
                <w:rFonts w:hint="default" w:ascii="Times New Roman" w:hAnsi="Times New Roman" w:cs="Times New Roman"/>
                <w:sz w:val="18"/>
                <w:szCs w:val="18"/>
              </w:rPr>
            </w:pPr>
          </w:p>
        </w:tc>
        <w:tc>
          <w:tcPr>
            <w:tcW w:w="897" w:type="dxa"/>
            <w:vMerge w:val="continue"/>
            <w:tcBorders>
              <w:top w:val="single" w:color="000000" w:sz="4" w:space="0"/>
              <w:bottom w:val="single" w:color="000000" w:sz="4" w:space="0"/>
            </w:tcBorders>
            <w:vAlign w:val="center"/>
          </w:tcPr>
          <w:p>
            <w:pPr>
              <w:adjustRightInd w:val="0"/>
              <w:snapToGrid w:val="0"/>
              <w:jc w:val="center"/>
              <w:rPr>
                <w:rFonts w:hint="default" w:ascii="Times New Roman" w:hAnsi="Times New Roman" w:cs="Times New Roman"/>
                <w:sz w:val="18"/>
                <w:szCs w:val="18"/>
              </w:rPr>
            </w:pPr>
          </w:p>
        </w:tc>
        <w:tc>
          <w:tcPr>
            <w:tcW w:w="940" w:type="dxa"/>
            <w:vMerge w:val="restart"/>
            <w:tcBorders>
              <w:top w:val="single" w:color="000000" w:sz="4" w:space="0"/>
              <w:bottom w:val="single" w:color="000000" w:sz="4" w:space="0"/>
            </w:tcBorders>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混凝土坝、砌石坝</w:t>
            </w:r>
          </w:p>
        </w:tc>
        <w:tc>
          <w:tcPr>
            <w:tcW w:w="940" w:type="dxa"/>
            <w:vMerge w:val="restart"/>
            <w:tcBorders>
              <w:top w:val="single" w:color="000000" w:sz="4" w:space="0"/>
              <w:bottom w:val="single" w:color="000000" w:sz="4" w:space="0"/>
            </w:tcBorders>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重力坝、拱坝</w:t>
            </w:r>
          </w:p>
        </w:tc>
        <w:tc>
          <w:tcPr>
            <w:tcW w:w="2772" w:type="dxa"/>
            <w:tcBorders>
              <w:top w:val="single" w:color="000000" w:sz="4" w:space="0"/>
              <w:bottom w:val="single" w:color="000000" w:sz="4" w:space="0"/>
            </w:tcBorders>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低于控制水位</w:t>
            </w:r>
          </w:p>
        </w:tc>
        <w:tc>
          <w:tcPr>
            <w:tcW w:w="2652" w:type="dxa"/>
            <w:tcBorders>
              <w:top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每10 天不少于1 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407" w:hRule="atLeast"/>
          <w:jc w:val="center"/>
        </w:trPr>
        <w:tc>
          <w:tcPr>
            <w:tcW w:w="1116" w:type="dxa"/>
            <w:vMerge w:val="continue"/>
            <w:tcBorders>
              <w:top w:val="single" w:color="000000" w:sz="4" w:space="0"/>
              <w:left w:val="single" w:color="000000" w:sz="4" w:space="0"/>
              <w:bottom w:val="single" w:color="000000" w:sz="4" w:space="0"/>
            </w:tcBorders>
            <w:vAlign w:val="center"/>
          </w:tcPr>
          <w:p>
            <w:pPr>
              <w:adjustRightInd w:val="0"/>
              <w:snapToGrid w:val="0"/>
              <w:jc w:val="center"/>
              <w:rPr>
                <w:rFonts w:hint="default" w:ascii="Times New Roman" w:hAnsi="Times New Roman" w:cs="Times New Roman"/>
                <w:sz w:val="18"/>
                <w:szCs w:val="18"/>
              </w:rPr>
            </w:pPr>
          </w:p>
        </w:tc>
        <w:tc>
          <w:tcPr>
            <w:tcW w:w="897" w:type="dxa"/>
            <w:vMerge w:val="continue"/>
            <w:tcBorders>
              <w:top w:val="single" w:color="000000" w:sz="4" w:space="0"/>
              <w:bottom w:val="single" w:color="000000" w:sz="4" w:space="0"/>
            </w:tcBorders>
            <w:vAlign w:val="center"/>
          </w:tcPr>
          <w:p>
            <w:pPr>
              <w:adjustRightInd w:val="0"/>
              <w:snapToGrid w:val="0"/>
              <w:jc w:val="center"/>
              <w:rPr>
                <w:rFonts w:hint="default" w:ascii="Times New Roman" w:hAnsi="Times New Roman" w:cs="Times New Roman"/>
                <w:sz w:val="18"/>
                <w:szCs w:val="18"/>
              </w:rPr>
            </w:pPr>
          </w:p>
        </w:tc>
        <w:tc>
          <w:tcPr>
            <w:tcW w:w="940" w:type="dxa"/>
            <w:vMerge w:val="continue"/>
            <w:tcBorders>
              <w:top w:val="single" w:color="000000" w:sz="4" w:space="0"/>
              <w:bottom w:val="single" w:color="000000" w:sz="4" w:space="0"/>
            </w:tcBorders>
            <w:vAlign w:val="center"/>
          </w:tcPr>
          <w:p>
            <w:pPr>
              <w:adjustRightInd w:val="0"/>
              <w:snapToGrid w:val="0"/>
              <w:jc w:val="center"/>
              <w:rPr>
                <w:rFonts w:hint="default" w:ascii="Times New Roman" w:hAnsi="Times New Roman" w:cs="Times New Roman"/>
                <w:sz w:val="18"/>
                <w:szCs w:val="18"/>
              </w:rPr>
            </w:pPr>
          </w:p>
        </w:tc>
        <w:tc>
          <w:tcPr>
            <w:tcW w:w="940" w:type="dxa"/>
            <w:vMerge w:val="continue"/>
            <w:tcBorders>
              <w:top w:val="single" w:color="000000" w:sz="4" w:space="0"/>
              <w:bottom w:val="single" w:color="000000" w:sz="4" w:space="0"/>
            </w:tcBorders>
            <w:vAlign w:val="center"/>
          </w:tcPr>
          <w:p>
            <w:pPr>
              <w:adjustRightInd w:val="0"/>
              <w:snapToGrid w:val="0"/>
              <w:jc w:val="center"/>
              <w:rPr>
                <w:rFonts w:hint="default" w:ascii="Times New Roman" w:hAnsi="Times New Roman" w:cs="Times New Roman"/>
                <w:sz w:val="18"/>
                <w:szCs w:val="18"/>
              </w:rPr>
            </w:pPr>
          </w:p>
        </w:tc>
        <w:tc>
          <w:tcPr>
            <w:tcW w:w="2772" w:type="dxa"/>
            <w:tcBorders>
              <w:top w:val="single" w:color="000000" w:sz="4" w:space="0"/>
              <w:bottom w:val="single" w:color="000000" w:sz="4" w:space="0"/>
            </w:tcBorders>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超过控制水位</w:t>
            </w:r>
          </w:p>
        </w:tc>
        <w:tc>
          <w:tcPr>
            <w:tcW w:w="2652" w:type="dxa"/>
            <w:tcBorders>
              <w:top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每天不少于1 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407" w:hRule="atLeast"/>
          <w:jc w:val="center"/>
        </w:trPr>
        <w:tc>
          <w:tcPr>
            <w:tcW w:w="1116" w:type="dxa"/>
            <w:vMerge w:val="continue"/>
            <w:tcBorders>
              <w:top w:val="single" w:color="000000" w:sz="4" w:space="0"/>
              <w:left w:val="single" w:color="000000" w:sz="4" w:space="0"/>
              <w:bottom w:val="single" w:color="000000" w:sz="4" w:space="0"/>
            </w:tcBorders>
            <w:vAlign w:val="center"/>
          </w:tcPr>
          <w:p>
            <w:pPr>
              <w:adjustRightInd w:val="0"/>
              <w:snapToGrid w:val="0"/>
              <w:jc w:val="center"/>
              <w:rPr>
                <w:rFonts w:hint="default" w:ascii="Times New Roman" w:hAnsi="Times New Roman" w:cs="Times New Roman"/>
                <w:sz w:val="18"/>
                <w:szCs w:val="18"/>
              </w:rPr>
            </w:pPr>
          </w:p>
        </w:tc>
        <w:tc>
          <w:tcPr>
            <w:tcW w:w="897" w:type="dxa"/>
            <w:vMerge w:val="continue"/>
            <w:tcBorders>
              <w:top w:val="single" w:color="000000" w:sz="4" w:space="0"/>
              <w:bottom w:val="single" w:color="000000" w:sz="4" w:space="0"/>
            </w:tcBorders>
            <w:vAlign w:val="center"/>
          </w:tcPr>
          <w:p>
            <w:pPr>
              <w:adjustRightInd w:val="0"/>
              <w:snapToGrid w:val="0"/>
              <w:jc w:val="center"/>
              <w:rPr>
                <w:rFonts w:hint="default" w:ascii="Times New Roman" w:hAnsi="Times New Roman" w:cs="Times New Roman"/>
                <w:sz w:val="18"/>
                <w:szCs w:val="18"/>
              </w:rPr>
            </w:pPr>
          </w:p>
        </w:tc>
        <w:tc>
          <w:tcPr>
            <w:tcW w:w="940" w:type="dxa"/>
            <w:vMerge w:val="continue"/>
            <w:tcBorders>
              <w:top w:val="single" w:color="000000" w:sz="4" w:space="0"/>
              <w:bottom w:val="single" w:color="000000" w:sz="4" w:space="0"/>
            </w:tcBorders>
            <w:vAlign w:val="center"/>
          </w:tcPr>
          <w:p>
            <w:pPr>
              <w:adjustRightInd w:val="0"/>
              <w:snapToGrid w:val="0"/>
              <w:jc w:val="center"/>
              <w:rPr>
                <w:rFonts w:hint="default" w:ascii="Times New Roman" w:hAnsi="Times New Roman" w:cs="Times New Roman"/>
                <w:sz w:val="18"/>
                <w:szCs w:val="18"/>
              </w:rPr>
            </w:pPr>
          </w:p>
        </w:tc>
        <w:tc>
          <w:tcPr>
            <w:tcW w:w="940" w:type="dxa"/>
            <w:tcBorders>
              <w:top w:val="single" w:color="000000" w:sz="4" w:space="0"/>
              <w:bottom w:val="single" w:color="000000" w:sz="4" w:space="0"/>
            </w:tcBorders>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拱坝</w:t>
            </w:r>
          </w:p>
        </w:tc>
        <w:tc>
          <w:tcPr>
            <w:tcW w:w="2772" w:type="dxa"/>
            <w:tcBorders>
              <w:top w:val="single" w:color="000000" w:sz="4" w:space="0"/>
              <w:bottom w:val="single" w:color="000000" w:sz="4" w:space="0"/>
            </w:tcBorders>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接近或低于设计死水位</w:t>
            </w:r>
          </w:p>
        </w:tc>
        <w:tc>
          <w:tcPr>
            <w:tcW w:w="2652" w:type="dxa"/>
            <w:tcBorders>
              <w:top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每天不少于1 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407" w:hRule="atLeast"/>
          <w:jc w:val="center"/>
        </w:trPr>
        <w:tc>
          <w:tcPr>
            <w:tcW w:w="1116" w:type="dxa"/>
            <w:vMerge w:val="continue"/>
            <w:tcBorders>
              <w:top w:val="single" w:color="000000" w:sz="4" w:space="0"/>
              <w:left w:val="single" w:color="000000" w:sz="4" w:space="0"/>
              <w:bottom w:val="single" w:color="000000" w:sz="4" w:space="0"/>
            </w:tcBorders>
            <w:vAlign w:val="center"/>
          </w:tcPr>
          <w:p>
            <w:pPr>
              <w:adjustRightInd w:val="0"/>
              <w:snapToGrid w:val="0"/>
              <w:jc w:val="center"/>
              <w:rPr>
                <w:rFonts w:hint="default" w:ascii="Times New Roman" w:hAnsi="Times New Roman" w:cs="Times New Roman"/>
                <w:sz w:val="18"/>
                <w:szCs w:val="18"/>
              </w:rPr>
            </w:pPr>
          </w:p>
        </w:tc>
        <w:tc>
          <w:tcPr>
            <w:tcW w:w="2777" w:type="dxa"/>
            <w:gridSpan w:val="3"/>
            <w:vMerge w:val="restart"/>
            <w:tcBorders>
              <w:top w:val="single" w:color="000000" w:sz="4" w:space="0"/>
              <w:bottom w:val="single" w:color="000000" w:sz="4" w:space="0"/>
            </w:tcBorders>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平原、滨海区水库</w:t>
            </w:r>
          </w:p>
        </w:tc>
        <w:tc>
          <w:tcPr>
            <w:tcW w:w="2772" w:type="dxa"/>
            <w:tcBorders>
              <w:top w:val="single" w:color="000000" w:sz="4" w:space="0"/>
              <w:bottom w:val="single" w:color="000000" w:sz="4" w:space="0"/>
            </w:tcBorders>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低于控制水位</w:t>
            </w:r>
          </w:p>
        </w:tc>
        <w:tc>
          <w:tcPr>
            <w:tcW w:w="2652" w:type="dxa"/>
            <w:tcBorders>
              <w:top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每10 天不少于1 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407" w:hRule="atLeast"/>
          <w:jc w:val="center"/>
        </w:trPr>
        <w:tc>
          <w:tcPr>
            <w:tcW w:w="1116" w:type="dxa"/>
            <w:vMerge w:val="continue"/>
            <w:tcBorders>
              <w:top w:val="single" w:color="000000" w:sz="4" w:space="0"/>
              <w:left w:val="single" w:color="000000" w:sz="4" w:space="0"/>
              <w:bottom w:val="single" w:color="000000" w:sz="4" w:space="0"/>
            </w:tcBorders>
            <w:vAlign w:val="center"/>
          </w:tcPr>
          <w:p>
            <w:pPr>
              <w:adjustRightInd w:val="0"/>
              <w:snapToGrid w:val="0"/>
              <w:jc w:val="center"/>
              <w:rPr>
                <w:rFonts w:hint="default" w:ascii="Times New Roman" w:hAnsi="Times New Roman" w:cs="Times New Roman"/>
                <w:sz w:val="18"/>
                <w:szCs w:val="18"/>
              </w:rPr>
            </w:pPr>
          </w:p>
        </w:tc>
        <w:tc>
          <w:tcPr>
            <w:tcW w:w="2777" w:type="dxa"/>
            <w:gridSpan w:val="3"/>
            <w:vMerge w:val="continue"/>
            <w:tcBorders>
              <w:top w:val="single" w:color="000000" w:sz="4" w:space="0"/>
              <w:bottom w:val="single" w:color="000000" w:sz="4" w:space="0"/>
            </w:tcBorders>
            <w:vAlign w:val="center"/>
          </w:tcPr>
          <w:p>
            <w:pPr>
              <w:adjustRightInd w:val="0"/>
              <w:snapToGrid w:val="0"/>
              <w:jc w:val="center"/>
              <w:rPr>
                <w:rFonts w:hint="default" w:ascii="Times New Roman" w:hAnsi="Times New Roman" w:cs="Times New Roman"/>
                <w:sz w:val="18"/>
                <w:szCs w:val="18"/>
              </w:rPr>
            </w:pPr>
          </w:p>
        </w:tc>
        <w:tc>
          <w:tcPr>
            <w:tcW w:w="2772" w:type="dxa"/>
            <w:tcBorders>
              <w:top w:val="single" w:color="000000" w:sz="4" w:space="0"/>
              <w:bottom w:val="single" w:color="000000" w:sz="4" w:space="0"/>
            </w:tcBorders>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超过控制水位</w:t>
            </w:r>
          </w:p>
        </w:tc>
        <w:tc>
          <w:tcPr>
            <w:tcW w:w="2652" w:type="dxa"/>
            <w:tcBorders>
              <w:top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每天不少于1 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407" w:hRule="atLeast"/>
          <w:jc w:val="center"/>
        </w:trPr>
        <w:tc>
          <w:tcPr>
            <w:tcW w:w="3893" w:type="dxa"/>
            <w:gridSpan w:val="4"/>
            <w:tcBorders>
              <w:top w:val="single" w:color="000000" w:sz="4" w:space="0"/>
              <w:left w:val="single" w:color="000000" w:sz="4" w:space="0"/>
              <w:bottom w:val="single" w:color="000000" w:sz="4" w:space="0"/>
            </w:tcBorders>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库区</w:t>
            </w:r>
          </w:p>
        </w:tc>
        <w:tc>
          <w:tcPr>
            <w:tcW w:w="2772" w:type="dxa"/>
            <w:tcBorders>
              <w:top w:val="single" w:color="000000" w:sz="4" w:space="0"/>
              <w:bottom w:val="single" w:color="000000" w:sz="4" w:space="0"/>
            </w:tcBorders>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2652" w:type="dxa"/>
            <w:tcBorders>
              <w:top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每10 天不少于1 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407" w:hRule="atLeast"/>
          <w:jc w:val="center"/>
        </w:trPr>
        <w:tc>
          <w:tcPr>
            <w:tcW w:w="9317" w:type="dxa"/>
            <w:gridSpan w:val="6"/>
            <w:tcBorders>
              <w:top w:val="single" w:color="000000" w:sz="4" w:space="0"/>
              <w:left w:val="single" w:color="000000" w:sz="4" w:space="0"/>
              <w:bottom w:val="single" w:color="000000" w:sz="4" w:space="0"/>
              <w:right w:val="single" w:color="000000" w:sz="4" w:space="0"/>
            </w:tcBorders>
            <w:vAlign w:val="center"/>
          </w:tcPr>
          <w:p>
            <w:pPr>
              <w:pStyle w:val="92"/>
              <w:rPr>
                <w:rFonts w:hint="default" w:ascii="Times New Roman" w:hAnsi="Times New Roman" w:cs="Times New Roman"/>
              </w:rPr>
            </w:pPr>
            <w:r>
              <w:rPr>
                <w:rFonts w:hint="default" w:ascii="Times New Roman" w:hAnsi="Times New Roman" w:cs="Times New Roman"/>
              </w:rPr>
              <w:t>当水库设有汛限水位时，控制水位为汛限水位；当水库未设汛限水位时，控制水位为正常蓄水位；如上级部门对水库控制水位有特殊要求的，以上级部门的指令为准。</w:t>
            </w:r>
          </w:p>
          <w:p>
            <w:pPr>
              <w:pStyle w:val="92"/>
              <w:rPr>
                <w:rFonts w:hint="default" w:ascii="Times New Roman" w:hAnsi="Times New Roman" w:cs="Times New Roman"/>
              </w:rPr>
            </w:pPr>
            <w:r>
              <w:rPr>
                <w:rFonts w:hint="default" w:ascii="Times New Roman" w:hAnsi="Times New Roman" w:cs="Times New Roman"/>
              </w:rPr>
              <w:t>山区、丘陵区指地表面起伏、群山或冈丘连绵，大部分地面倾斜角在2°以上或地面高差在20 m以上的地区。从工程意义上，还包括建筑物挡水高度高于15 m，且上、下游最大水头差大于10 m的其他地区。</w:t>
            </w:r>
          </w:p>
          <w:p>
            <w:pPr>
              <w:pStyle w:val="92"/>
              <w:rPr>
                <w:rFonts w:hint="default" w:ascii="Times New Roman" w:hAnsi="Times New Roman" w:cs="Times New Roman"/>
              </w:rPr>
            </w:pPr>
            <w:r>
              <w:rPr>
                <w:rFonts w:hint="default" w:ascii="Times New Roman" w:hAnsi="Times New Roman" w:cs="Times New Roman"/>
              </w:rPr>
              <w:t>平原、滨海区指地表面平坦宽阔，大部分地面倾斜角在2°以下或地面高差不超过20 m的地区，以及与海邻接，受潮位影响的地区。从工程意义上，还包括建筑物挡水高度低于15 m，且上、下游最大水头差小于10 m的其他地区。</w:t>
            </w:r>
          </w:p>
        </w:tc>
      </w:tr>
      <w:bookmarkEnd w:id="228"/>
      <w:bookmarkEnd w:id="229"/>
      <w:bookmarkEnd w:id="230"/>
    </w:tbl>
    <w:p>
      <w:pPr>
        <w:pStyle w:val="203"/>
        <w:spacing w:before="78" w:after="156"/>
        <w:rPr>
          <w:rFonts w:hint="default" w:ascii="Times New Roman" w:hAnsi="Times New Roman" w:cs="Times New Roman"/>
        </w:rPr>
        <w:sectPr>
          <w:pgSz w:w="11906" w:h="16838"/>
          <w:pgMar w:top="1134" w:right="1134" w:bottom="1134" w:left="1418" w:header="1134" w:footer="1134" w:gutter="0"/>
          <w:cols w:space="425" w:num="1"/>
          <w:formProt w:val="0"/>
          <w:docGrid w:type="lines" w:linePitch="312" w:charSpace="0"/>
        </w:sectPr>
      </w:pPr>
    </w:p>
    <w:p>
      <w:pPr>
        <w:pStyle w:val="203"/>
        <w:spacing w:before="78" w:after="156"/>
        <w:rPr>
          <w:rFonts w:hint="default" w:ascii="Times New Roman" w:hAnsi="Times New Roman" w:cs="Times New Roman"/>
        </w:rPr>
      </w:pPr>
      <w:bookmarkStart w:id="231" w:name="_Toc163465931"/>
      <w:r>
        <w:rPr>
          <w:rFonts w:hint="default" w:ascii="Times New Roman" w:hAnsi="Times New Roman" w:cs="Times New Roman"/>
        </w:rPr>
        <w:t>附录C</w:t>
      </w:r>
      <w:r>
        <w:rPr>
          <w:rFonts w:hint="default" w:ascii="Times New Roman" w:hAnsi="Times New Roman" w:cs="Times New Roman"/>
        </w:rPr>
        <w:br w:type="textWrapping"/>
      </w:r>
      <w:r>
        <w:rPr>
          <w:rFonts w:hint="default" w:ascii="Times New Roman" w:hAnsi="Times New Roman" w:cs="Times New Roman"/>
        </w:rPr>
        <w:t>（资料性附录）</w:t>
      </w:r>
      <w:r>
        <w:rPr>
          <w:rFonts w:hint="default" w:ascii="Times New Roman" w:hAnsi="Times New Roman" w:cs="Times New Roman"/>
        </w:rPr>
        <w:br w:type="textWrapping"/>
      </w:r>
      <w:r>
        <w:rPr>
          <w:rFonts w:hint="default" w:ascii="Times New Roman" w:hAnsi="Times New Roman" w:cs="Times New Roman"/>
        </w:rPr>
        <w:t>检查内容表</w:t>
      </w:r>
      <w:bookmarkEnd w:id="231"/>
    </w:p>
    <w:p>
      <w:pPr>
        <w:widowControl/>
        <w:tabs>
          <w:tab w:val="center" w:pos="4201"/>
          <w:tab w:val="right" w:leader="dot" w:pos="9298"/>
        </w:tabs>
        <w:autoSpaceDE w:val="0"/>
        <w:autoSpaceDN w:val="0"/>
        <w:ind w:firstLine="420" w:firstLineChars="200"/>
        <w:rPr>
          <w:rFonts w:hint="default" w:ascii="Times New Roman" w:hAnsi="Times New Roman" w:cs="Times New Roman"/>
          <w:kern w:val="0"/>
        </w:rPr>
      </w:pPr>
      <w:r>
        <w:rPr>
          <w:rFonts w:hint="default" w:ascii="Times New Roman" w:hAnsi="Times New Roman" w:cs="Times New Roman"/>
          <w:kern w:val="0"/>
        </w:rPr>
        <w:t>表C.1给出了土石坝检查内容表，表C.2给出了砌石坝、混凝土坝检查内容表。</w:t>
      </w:r>
    </w:p>
    <w:p>
      <w:pPr>
        <w:widowControl/>
        <w:spacing w:beforeLines="50" w:afterLines="50"/>
        <w:jc w:val="center"/>
        <w:outlineLvl w:val="2"/>
        <w:rPr>
          <w:rFonts w:hint="default" w:ascii="Times New Roman" w:hAnsi="Times New Roman" w:eastAsia="黑体" w:cs="Times New Roman"/>
          <w:kern w:val="0"/>
        </w:rPr>
      </w:pPr>
      <w:bookmarkStart w:id="232" w:name="_Toc163461488"/>
      <w:bookmarkStart w:id="233" w:name="_Toc159919867"/>
      <w:bookmarkStart w:id="234" w:name="_Toc161410788"/>
      <w:bookmarkStart w:id="235" w:name="_Toc159919345"/>
      <w:bookmarkStart w:id="236" w:name="_Toc163465932"/>
      <w:bookmarkStart w:id="237" w:name="_Toc157087719"/>
      <w:bookmarkStart w:id="238" w:name="_Toc157087559"/>
      <w:r>
        <w:rPr>
          <w:rFonts w:hint="default" w:ascii="Times New Roman" w:hAnsi="Times New Roman" w:eastAsia="黑体" w:cs="Times New Roman"/>
          <w:kern w:val="0"/>
        </w:rPr>
        <w:t>表C.1 土石坝检查内容表</w:t>
      </w:r>
      <w:bookmarkEnd w:id="232"/>
      <w:bookmarkEnd w:id="233"/>
      <w:bookmarkEnd w:id="234"/>
      <w:bookmarkEnd w:id="235"/>
      <w:bookmarkEnd w:id="236"/>
      <w:bookmarkEnd w:id="237"/>
      <w:bookmarkEnd w:id="238"/>
    </w:p>
    <w:tbl>
      <w:tblPr>
        <w:tblStyle w:val="45"/>
        <w:tblW w:w="957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33"/>
        <w:gridCol w:w="735"/>
        <w:gridCol w:w="840"/>
        <w:gridCol w:w="1050"/>
        <w:gridCol w:w="63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3258" w:type="dxa"/>
            <w:gridSpan w:val="4"/>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工程主要部位</w:t>
            </w:r>
          </w:p>
        </w:tc>
        <w:tc>
          <w:tcPr>
            <w:tcW w:w="6312" w:type="dxa"/>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检查主要内容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633" w:type="dxa"/>
            <w:vMerge w:val="restart"/>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挡</w:t>
            </w:r>
          </w:p>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水</w:t>
            </w:r>
          </w:p>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建</w:t>
            </w:r>
          </w:p>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筑</w:t>
            </w:r>
          </w:p>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物</w:t>
            </w:r>
          </w:p>
        </w:tc>
        <w:tc>
          <w:tcPr>
            <w:tcW w:w="735" w:type="dxa"/>
            <w:vMerge w:val="restart"/>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坝</w:t>
            </w:r>
          </w:p>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体</w:t>
            </w:r>
          </w:p>
        </w:tc>
        <w:tc>
          <w:tcPr>
            <w:tcW w:w="1890" w:type="dxa"/>
            <w:gridSpan w:val="2"/>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坝顶</w:t>
            </w:r>
          </w:p>
        </w:tc>
        <w:tc>
          <w:tcPr>
            <w:tcW w:w="6312" w:type="dxa"/>
            <w:vAlign w:val="center"/>
          </w:tcPr>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pacing w:val="-1"/>
                <w:sz w:val="18"/>
                <w:szCs w:val="18"/>
              </w:rPr>
              <w:t>有无明显裂缝、异常变形、积水或杂草丛生等现象。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633"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735"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1890" w:type="dxa"/>
            <w:gridSpan w:val="2"/>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防浪墙</w:t>
            </w:r>
          </w:p>
        </w:tc>
        <w:tc>
          <w:tcPr>
            <w:tcW w:w="6312" w:type="dxa"/>
            <w:vAlign w:val="center"/>
          </w:tcPr>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pacing w:val="-1"/>
                <w:sz w:val="18"/>
                <w:szCs w:val="18"/>
              </w:rPr>
              <w:t>结构有无开裂、松动、架空、变形和倾斜等情况。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9" w:hRule="atLeast"/>
          <w:jc w:val="center"/>
        </w:trPr>
        <w:tc>
          <w:tcPr>
            <w:tcW w:w="633"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735"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840" w:type="dxa"/>
            <w:vMerge w:val="restart"/>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坝坡</w:t>
            </w:r>
          </w:p>
        </w:tc>
        <w:tc>
          <w:tcPr>
            <w:tcW w:w="1050" w:type="dxa"/>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迎水坡</w:t>
            </w:r>
          </w:p>
        </w:tc>
        <w:tc>
          <w:tcPr>
            <w:tcW w:w="6312" w:type="dxa"/>
            <w:vMerge w:val="restart"/>
            <w:vAlign w:val="center"/>
          </w:tcPr>
          <w:p>
            <w:pPr>
              <w:pStyle w:val="19"/>
              <w:adjustRightInd/>
              <w:spacing w:after="0" w:line="240" w:lineRule="auto"/>
              <w:rPr>
                <w:rFonts w:hint="default" w:ascii="Times New Roman" w:hAnsi="Times New Roman" w:cs="Times New Roman"/>
                <w:spacing w:val="-1"/>
                <w:sz w:val="18"/>
                <w:szCs w:val="18"/>
              </w:rPr>
            </w:pPr>
            <w:r>
              <w:rPr>
                <w:rFonts w:hint="default" w:ascii="Times New Roman" w:hAnsi="Times New Roman" w:cs="Times New Roman"/>
                <w:spacing w:val="-1"/>
                <w:sz w:val="18"/>
                <w:szCs w:val="18"/>
              </w:rPr>
              <w:t>（1）有无裂缝、剥落、滑动、隆起、塌坑、冲刷或植物滋生等现象；</w:t>
            </w:r>
          </w:p>
          <w:p>
            <w:pPr>
              <w:pStyle w:val="19"/>
              <w:adjustRightInd/>
              <w:spacing w:after="0" w:line="240" w:lineRule="auto"/>
              <w:rPr>
                <w:rFonts w:hint="default" w:ascii="Times New Roman" w:hAnsi="Times New Roman" w:cs="Times New Roman"/>
                <w:spacing w:val="-1"/>
                <w:sz w:val="18"/>
                <w:szCs w:val="18"/>
              </w:rPr>
            </w:pPr>
            <w:r>
              <w:rPr>
                <w:rFonts w:hint="default" w:ascii="Times New Roman" w:hAnsi="Times New Roman" w:cs="Times New Roman"/>
                <w:spacing w:val="-1"/>
                <w:sz w:val="18"/>
                <w:szCs w:val="18"/>
              </w:rPr>
              <w:t>（2）近坝水面有无冒泡、变浑、漩涡等异常现象；</w:t>
            </w:r>
          </w:p>
          <w:p>
            <w:pPr>
              <w:pStyle w:val="19"/>
              <w:adjustRightInd/>
              <w:spacing w:after="0" w:line="240" w:lineRule="auto"/>
              <w:rPr>
                <w:rFonts w:hint="default" w:ascii="Times New Roman" w:hAnsi="Times New Roman" w:cs="Times New Roman"/>
                <w:spacing w:val="-1"/>
                <w:sz w:val="18"/>
                <w:szCs w:val="18"/>
              </w:rPr>
            </w:pPr>
            <w:r>
              <w:rPr>
                <w:rFonts w:hint="default" w:ascii="Times New Roman" w:hAnsi="Times New Roman" w:cs="Times New Roman"/>
                <w:spacing w:val="-1"/>
                <w:sz w:val="18"/>
                <w:szCs w:val="18"/>
              </w:rPr>
              <w:t>（3）砌石护坡有无块石松动、塌陷、垫层流失、架空或风化变质等损坏现象；</w:t>
            </w:r>
          </w:p>
          <w:p>
            <w:pPr>
              <w:pStyle w:val="19"/>
              <w:adjustRightInd/>
              <w:spacing w:after="0" w:line="240" w:lineRule="auto"/>
              <w:rPr>
                <w:rFonts w:hint="default" w:ascii="Times New Roman" w:hAnsi="Times New Roman" w:cs="Times New Roman"/>
                <w:spacing w:val="-1"/>
                <w:sz w:val="18"/>
                <w:szCs w:val="18"/>
              </w:rPr>
            </w:pPr>
            <w:r>
              <w:rPr>
                <w:rFonts w:hint="default" w:ascii="Times New Roman" w:hAnsi="Times New Roman" w:cs="Times New Roman"/>
                <w:spacing w:val="-1"/>
                <w:sz w:val="18"/>
                <w:szCs w:val="18"/>
              </w:rPr>
              <w:t>（4）混凝土面板有无破损、裂缝、溶蚀破损现象。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633"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735"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840"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1050" w:type="dxa"/>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背水坡</w:t>
            </w:r>
          </w:p>
        </w:tc>
        <w:tc>
          <w:tcPr>
            <w:tcW w:w="6312" w:type="dxa"/>
            <w:vMerge w:val="continue"/>
            <w:vAlign w:val="center"/>
          </w:tcPr>
          <w:p>
            <w:pPr>
              <w:pStyle w:val="19"/>
              <w:adjustRightInd/>
              <w:spacing w:after="0" w:line="240" w:lineRule="auto"/>
              <w:rPr>
                <w:rFonts w:hint="default" w:ascii="Times New Roman" w:hAnsi="Times New Roman" w:cs="Times New Roman"/>
                <w:spacing w:val="-1"/>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633"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735"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1890" w:type="dxa"/>
            <w:gridSpan w:val="2"/>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排水体（区）</w:t>
            </w:r>
          </w:p>
        </w:tc>
        <w:tc>
          <w:tcPr>
            <w:tcW w:w="6312" w:type="dxa"/>
            <w:vAlign w:val="center"/>
          </w:tcPr>
          <w:p>
            <w:pPr>
              <w:pStyle w:val="19"/>
              <w:adjustRightInd/>
              <w:spacing w:after="0" w:line="240" w:lineRule="auto"/>
              <w:rPr>
                <w:rFonts w:hint="default" w:ascii="Times New Roman" w:hAnsi="Times New Roman" w:cs="Times New Roman"/>
                <w:spacing w:val="-1"/>
                <w:sz w:val="18"/>
                <w:szCs w:val="18"/>
              </w:rPr>
            </w:pPr>
            <w:r>
              <w:rPr>
                <w:rFonts w:hint="default" w:ascii="Times New Roman" w:hAnsi="Times New Roman" w:cs="Times New Roman"/>
                <w:spacing w:val="-1"/>
                <w:sz w:val="18"/>
                <w:szCs w:val="18"/>
              </w:rPr>
              <w:t>（1）下游坝趾有无冲刷、淘刷、管涌、塌陷；</w:t>
            </w:r>
          </w:p>
          <w:p>
            <w:pPr>
              <w:pStyle w:val="19"/>
              <w:adjustRightInd/>
              <w:spacing w:after="0" w:line="240" w:lineRule="auto"/>
              <w:rPr>
                <w:rFonts w:hint="default" w:ascii="Times New Roman" w:hAnsi="Times New Roman" w:cs="Times New Roman"/>
                <w:spacing w:val="-1"/>
                <w:sz w:val="18"/>
                <w:szCs w:val="18"/>
              </w:rPr>
            </w:pPr>
            <w:r>
              <w:rPr>
                <w:rFonts w:hint="default" w:ascii="Times New Roman" w:hAnsi="Times New Roman" w:cs="Times New Roman"/>
                <w:spacing w:val="-1"/>
                <w:sz w:val="18"/>
                <w:szCs w:val="18"/>
              </w:rPr>
              <w:t>（2）渗漏水量、颜色、浑浊度及其变化情况。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633"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735"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1890" w:type="dxa"/>
            <w:gridSpan w:val="2"/>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导渗降压设施</w:t>
            </w:r>
          </w:p>
        </w:tc>
        <w:tc>
          <w:tcPr>
            <w:tcW w:w="6312" w:type="dxa"/>
            <w:vAlign w:val="center"/>
          </w:tcPr>
          <w:p>
            <w:pPr>
              <w:pStyle w:val="19"/>
              <w:adjustRightInd/>
              <w:spacing w:after="0" w:line="240" w:lineRule="auto"/>
              <w:rPr>
                <w:rFonts w:hint="default" w:ascii="Times New Roman" w:hAnsi="Times New Roman" w:cs="Times New Roman"/>
                <w:spacing w:val="-1"/>
                <w:sz w:val="18"/>
                <w:szCs w:val="18"/>
              </w:rPr>
            </w:pPr>
            <w:r>
              <w:rPr>
                <w:rFonts w:hint="default" w:ascii="Times New Roman" w:hAnsi="Times New Roman" w:cs="Times New Roman"/>
                <w:spacing w:val="-1"/>
                <w:sz w:val="18"/>
                <w:szCs w:val="18"/>
              </w:rPr>
              <w:t>（1）导渗降压设施工作是否正常；</w:t>
            </w:r>
          </w:p>
          <w:p>
            <w:pPr>
              <w:pStyle w:val="19"/>
              <w:adjustRightInd/>
              <w:spacing w:after="0" w:line="240" w:lineRule="auto"/>
              <w:rPr>
                <w:rFonts w:hint="default" w:ascii="Times New Roman" w:hAnsi="Times New Roman" w:cs="Times New Roman"/>
                <w:spacing w:val="-1"/>
                <w:sz w:val="18"/>
                <w:szCs w:val="18"/>
              </w:rPr>
            </w:pPr>
            <w:r>
              <w:rPr>
                <w:rFonts w:hint="default" w:ascii="Times New Roman" w:hAnsi="Times New Roman" w:cs="Times New Roman"/>
                <w:spacing w:val="-1"/>
                <w:sz w:val="18"/>
                <w:szCs w:val="18"/>
              </w:rPr>
              <w:t>（2）导渗沟、排水棱体工作状况；</w:t>
            </w:r>
          </w:p>
          <w:p>
            <w:pPr>
              <w:pStyle w:val="19"/>
              <w:adjustRightInd/>
              <w:spacing w:after="0" w:line="240" w:lineRule="auto"/>
              <w:rPr>
                <w:rFonts w:hint="default" w:ascii="Times New Roman" w:hAnsi="Times New Roman" w:cs="Times New Roman"/>
                <w:spacing w:val="-1"/>
                <w:sz w:val="18"/>
                <w:szCs w:val="18"/>
              </w:rPr>
            </w:pPr>
            <w:r>
              <w:rPr>
                <w:rFonts w:hint="default" w:ascii="Times New Roman" w:hAnsi="Times New Roman" w:cs="Times New Roman"/>
                <w:spacing w:val="-1"/>
                <w:sz w:val="18"/>
                <w:szCs w:val="18"/>
              </w:rPr>
              <w:t>（3）排水量、水体颜色及浑浊度。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633"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735"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1890" w:type="dxa"/>
            <w:gridSpan w:val="2"/>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排水系统</w:t>
            </w:r>
          </w:p>
        </w:tc>
        <w:tc>
          <w:tcPr>
            <w:tcW w:w="6312" w:type="dxa"/>
            <w:vAlign w:val="center"/>
          </w:tcPr>
          <w:p>
            <w:pPr>
              <w:pStyle w:val="19"/>
              <w:adjustRightInd/>
              <w:spacing w:after="0" w:line="240" w:lineRule="auto"/>
              <w:rPr>
                <w:rFonts w:hint="default" w:ascii="Times New Roman" w:hAnsi="Times New Roman" w:cs="Times New Roman"/>
                <w:spacing w:val="-1"/>
                <w:sz w:val="18"/>
                <w:szCs w:val="18"/>
              </w:rPr>
            </w:pPr>
            <w:r>
              <w:rPr>
                <w:rFonts w:hint="default" w:ascii="Times New Roman" w:hAnsi="Times New Roman" w:cs="Times New Roman"/>
                <w:spacing w:val="-1"/>
                <w:sz w:val="18"/>
                <w:szCs w:val="18"/>
              </w:rPr>
              <w:t>（1）排水孔工作状况；</w:t>
            </w:r>
          </w:p>
          <w:p>
            <w:pPr>
              <w:pStyle w:val="19"/>
              <w:adjustRightInd/>
              <w:spacing w:after="0" w:line="240" w:lineRule="auto"/>
              <w:rPr>
                <w:rFonts w:hint="default" w:ascii="Times New Roman" w:hAnsi="Times New Roman" w:cs="Times New Roman"/>
                <w:spacing w:val="-1"/>
                <w:sz w:val="18"/>
                <w:szCs w:val="18"/>
              </w:rPr>
            </w:pPr>
            <w:r>
              <w:rPr>
                <w:rFonts w:hint="default" w:ascii="Times New Roman" w:hAnsi="Times New Roman" w:cs="Times New Roman"/>
                <w:spacing w:val="-1"/>
                <w:sz w:val="18"/>
                <w:szCs w:val="18"/>
              </w:rPr>
              <w:t>（2）排水量、水体颜色及浑浊度。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633"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735" w:type="dxa"/>
            <w:vMerge w:val="restart"/>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坝基及坝区</w:t>
            </w:r>
          </w:p>
        </w:tc>
        <w:tc>
          <w:tcPr>
            <w:tcW w:w="1890" w:type="dxa"/>
            <w:gridSpan w:val="2"/>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坝基</w:t>
            </w:r>
          </w:p>
        </w:tc>
        <w:tc>
          <w:tcPr>
            <w:tcW w:w="6312" w:type="dxa"/>
            <w:vAlign w:val="center"/>
          </w:tcPr>
          <w:p>
            <w:pPr>
              <w:pStyle w:val="19"/>
              <w:adjustRightInd/>
              <w:spacing w:after="0" w:line="240" w:lineRule="auto"/>
              <w:rPr>
                <w:rFonts w:hint="default" w:ascii="Times New Roman" w:hAnsi="Times New Roman" w:cs="Times New Roman"/>
                <w:spacing w:val="-1"/>
                <w:sz w:val="18"/>
                <w:szCs w:val="18"/>
              </w:rPr>
            </w:pPr>
            <w:r>
              <w:rPr>
                <w:rFonts w:hint="default" w:ascii="Times New Roman" w:hAnsi="Times New Roman" w:cs="Times New Roman"/>
                <w:spacing w:val="-1"/>
                <w:sz w:val="18"/>
                <w:szCs w:val="18"/>
              </w:rPr>
              <w:t>坝基是否渗漏水，渗漏水的水量、颜色、气味及浑浊度、酸碱度、温度有无变化。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3" w:hRule="atLeast"/>
          <w:jc w:val="center"/>
        </w:trPr>
        <w:tc>
          <w:tcPr>
            <w:tcW w:w="633"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735"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840" w:type="dxa"/>
            <w:vMerge w:val="restart"/>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两岸坝端</w:t>
            </w:r>
          </w:p>
        </w:tc>
        <w:tc>
          <w:tcPr>
            <w:tcW w:w="1050" w:type="dxa"/>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左坝端</w:t>
            </w:r>
          </w:p>
        </w:tc>
        <w:tc>
          <w:tcPr>
            <w:tcW w:w="6312" w:type="dxa"/>
            <w:vMerge w:val="restart"/>
            <w:vAlign w:val="center"/>
          </w:tcPr>
          <w:p>
            <w:pPr>
              <w:pStyle w:val="19"/>
              <w:adjustRightInd/>
              <w:spacing w:after="0" w:line="240" w:lineRule="auto"/>
              <w:rPr>
                <w:rFonts w:hint="default" w:ascii="Times New Roman" w:hAnsi="Times New Roman" w:cs="Times New Roman"/>
                <w:spacing w:val="-1"/>
                <w:sz w:val="18"/>
                <w:szCs w:val="18"/>
              </w:rPr>
            </w:pPr>
            <w:r>
              <w:rPr>
                <w:rFonts w:hint="default" w:ascii="Times New Roman" w:hAnsi="Times New Roman" w:cs="Times New Roman"/>
                <w:spacing w:val="-1"/>
                <w:sz w:val="18"/>
                <w:szCs w:val="18"/>
              </w:rPr>
              <w:t>（1）坝体与岸坡连接处有无错动、开裂及渗水等情况；</w:t>
            </w:r>
          </w:p>
          <w:p>
            <w:pPr>
              <w:pStyle w:val="19"/>
              <w:adjustRightInd/>
              <w:spacing w:after="0" w:line="240" w:lineRule="auto"/>
              <w:rPr>
                <w:rFonts w:hint="default" w:ascii="Times New Roman" w:hAnsi="Times New Roman" w:cs="Times New Roman"/>
                <w:spacing w:val="-1"/>
                <w:sz w:val="18"/>
                <w:szCs w:val="18"/>
              </w:rPr>
            </w:pPr>
            <w:r>
              <w:rPr>
                <w:rFonts w:hint="default" w:ascii="Times New Roman" w:hAnsi="Times New Roman" w:cs="Times New Roman"/>
                <w:spacing w:val="-1"/>
                <w:sz w:val="18"/>
                <w:szCs w:val="18"/>
              </w:rPr>
              <w:t>（2）两岸坝端连接段有无裂缝、滑动、崩塌、溶蚀、隆起、异常渗水和蚁穴、兽洞等；</w:t>
            </w:r>
          </w:p>
          <w:p>
            <w:pPr>
              <w:pStyle w:val="19"/>
              <w:adjustRightInd/>
              <w:spacing w:after="0" w:line="240" w:lineRule="auto"/>
              <w:rPr>
                <w:rFonts w:hint="default" w:ascii="Times New Roman" w:hAnsi="Times New Roman" w:cs="Times New Roman"/>
                <w:spacing w:val="-1"/>
                <w:sz w:val="18"/>
                <w:szCs w:val="18"/>
              </w:rPr>
            </w:pPr>
            <w:r>
              <w:rPr>
                <w:rFonts w:hint="default" w:ascii="Times New Roman" w:hAnsi="Times New Roman" w:cs="Times New Roman"/>
                <w:spacing w:val="-1"/>
                <w:sz w:val="18"/>
                <w:szCs w:val="18"/>
              </w:rPr>
              <w:t>（3）岸坡护面及支护结构有无变形、裂缝；</w:t>
            </w:r>
          </w:p>
          <w:p>
            <w:pPr>
              <w:pStyle w:val="19"/>
              <w:adjustRightInd/>
              <w:spacing w:after="0" w:line="240" w:lineRule="auto"/>
              <w:rPr>
                <w:rFonts w:hint="default" w:ascii="Times New Roman" w:hAnsi="Times New Roman" w:cs="Times New Roman"/>
                <w:spacing w:val="-1"/>
                <w:sz w:val="18"/>
                <w:szCs w:val="18"/>
              </w:rPr>
            </w:pPr>
            <w:r>
              <w:rPr>
                <w:rFonts w:hint="default" w:ascii="Times New Roman" w:hAnsi="Times New Roman" w:cs="Times New Roman"/>
                <w:spacing w:val="-1"/>
                <w:sz w:val="18"/>
                <w:szCs w:val="18"/>
              </w:rPr>
              <w:t>（4）岸坡地下水露头有无异常，表面排水设施和排水孔工作是否正常。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633"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735"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840"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1050" w:type="dxa"/>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右坝端</w:t>
            </w:r>
          </w:p>
        </w:tc>
        <w:tc>
          <w:tcPr>
            <w:tcW w:w="6312" w:type="dxa"/>
            <w:vMerge w:val="continue"/>
            <w:vAlign w:val="center"/>
          </w:tcPr>
          <w:p>
            <w:pPr>
              <w:pStyle w:val="19"/>
              <w:adjustRightInd/>
              <w:spacing w:after="0" w:line="240" w:lineRule="auto"/>
              <w:rPr>
                <w:rFonts w:hint="default" w:ascii="Times New Roman" w:hAnsi="Times New Roman" w:cs="Times New Roman"/>
                <w:spacing w:val="-1"/>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633"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735"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1890" w:type="dxa"/>
            <w:gridSpan w:val="2"/>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坝趾近区</w:t>
            </w:r>
          </w:p>
        </w:tc>
        <w:tc>
          <w:tcPr>
            <w:tcW w:w="6312" w:type="dxa"/>
            <w:vAlign w:val="center"/>
          </w:tcPr>
          <w:p>
            <w:pPr>
              <w:pStyle w:val="19"/>
              <w:adjustRightInd/>
              <w:spacing w:after="0" w:line="240" w:lineRule="auto"/>
              <w:rPr>
                <w:rFonts w:hint="default" w:ascii="Times New Roman" w:hAnsi="Times New Roman" w:cs="Times New Roman"/>
                <w:spacing w:val="-1"/>
                <w:sz w:val="18"/>
                <w:szCs w:val="18"/>
              </w:rPr>
            </w:pPr>
            <w:r>
              <w:rPr>
                <w:rFonts w:hint="default" w:ascii="Times New Roman" w:hAnsi="Times New Roman" w:cs="Times New Roman"/>
                <w:spacing w:val="-1"/>
                <w:sz w:val="18"/>
                <w:szCs w:val="18"/>
              </w:rPr>
              <w:t>坝趾近区有无阴湿、渗水、管涌、流土或隆起等现象；有无杂草；排水设施是否完好。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633"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735"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1890" w:type="dxa"/>
            <w:gridSpan w:val="2"/>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坝端岸坡</w:t>
            </w:r>
          </w:p>
        </w:tc>
        <w:tc>
          <w:tcPr>
            <w:tcW w:w="6312" w:type="dxa"/>
            <w:vAlign w:val="center"/>
          </w:tcPr>
          <w:p>
            <w:pPr>
              <w:pStyle w:val="19"/>
              <w:adjustRightInd/>
              <w:spacing w:after="0" w:line="240" w:lineRule="auto"/>
              <w:rPr>
                <w:rFonts w:hint="default" w:ascii="Times New Roman" w:hAnsi="Times New Roman" w:cs="Times New Roman"/>
                <w:spacing w:val="-1"/>
                <w:sz w:val="18"/>
                <w:szCs w:val="18"/>
              </w:rPr>
            </w:pPr>
            <w:r>
              <w:rPr>
                <w:rFonts w:hint="default" w:ascii="Times New Roman" w:hAnsi="Times New Roman" w:cs="Times New Roman"/>
                <w:spacing w:val="-1"/>
                <w:sz w:val="18"/>
                <w:szCs w:val="18"/>
              </w:rPr>
              <w:t>（1）是否存在高边坡；</w:t>
            </w:r>
          </w:p>
          <w:p>
            <w:pPr>
              <w:pStyle w:val="19"/>
              <w:adjustRightInd/>
              <w:spacing w:after="0" w:line="240" w:lineRule="auto"/>
              <w:rPr>
                <w:rFonts w:hint="default" w:ascii="Times New Roman" w:hAnsi="Times New Roman" w:cs="Times New Roman"/>
                <w:spacing w:val="-1"/>
                <w:sz w:val="18"/>
                <w:szCs w:val="18"/>
              </w:rPr>
            </w:pPr>
            <w:r>
              <w:rPr>
                <w:rFonts w:hint="default" w:ascii="Times New Roman" w:hAnsi="Times New Roman" w:cs="Times New Roman"/>
                <w:spacing w:val="-1"/>
                <w:sz w:val="18"/>
                <w:szCs w:val="18"/>
              </w:rPr>
              <w:t>（2）护面及支护结构是否完好，是否存在坡面滑动迹象；</w:t>
            </w:r>
          </w:p>
          <w:p>
            <w:pPr>
              <w:pStyle w:val="19"/>
              <w:adjustRightInd/>
              <w:spacing w:after="0" w:line="240" w:lineRule="auto"/>
              <w:rPr>
                <w:rFonts w:hint="default" w:ascii="Times New Roman" w:hAnsi="Times New Roman" w:cs="Times New Roman"/>
                <w:spacing w:val="-1"/>
                <w:sz w:val="18"/>
                <w:szCs w:val="18"/>
              </w:rPr>
            </w:pPr>
            <w:r>
              <w:rPr>
                <w:rFonts w:hint="default" w:ascii="Times New Roman" w:hAnsi="Times New Roman" w:cs="Times New Roman"/>
                <w:spacing w:val="-1"/>
                <w:sz w:val="18"/>
                <w:szCs w:val="18"/>
              </w:rPr>
              <w:t>（3）坡面排水系统有无异常。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633"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735"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1890" w:type="dxa"/>
            <w:gridSpan w:val="2"/>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上游铺盖</w:t>
            </w:r>
          </w:p>
        </w:tc>
        <w:tc>
          <w:tcPr>
            <w:tcW w:w="6312" w:type="dxa"/>
            <w:vAlign w:val="center"/>
          </w:tcPr>
          <w:p>
            <w:pPr>
              <w:pStyle w:val="19"/>
              <w:adjustRightInd/>
              <w:spacing w:after="0" w:line="240" w:lineRule="auto"/>
              <w:rPr>
                <w:rFonts w:hint="default" w:ascii="Times New Roman" w:hAnsi="Times New Roman" w:cs="Times New Roman"/>
                <w:spacing w:val="-1"/>
                <w:sz w:val="18"/>
                <w:szCs w:val="18"/>
              </w:rPr>
            </w:pPr>
            <w:r>
              <w:rPr>
                <w:rFonts w:hint="default" w:ascii="Times New Roman" w:hAnsi="Times New Roman" w:cs="Times New Roman"/>
                <w:spacing w:val="-1"/>
                <w:sz w:val="18"/>
                <w:szCs w:val="18"/>
              </w:rPr>
              <w:t>上游铺盖有无裂缝、变形、塌坑、杂草等。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633"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735" w:type="dxa"/>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白蚁</w:t>
            </w:r>
          </w:p>
        </w:tc>
        <w:tc>
          <w:tcPr>
            <w:tcW w:w="1890" w:type="dxa"/>
            <w:gridSpan w:val="2"/>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大坝及近坝库区</w:t>
            </w:r>
          </w:p>
        </w:tc>
        <w:tc>
          <w:tcPr>
            <w:tcW w:w="6312" w:type="dxa"/>
            <w:vAlign w:val="center"/>
          </w:tcPr>
          <w:p>
            <w:pPr>
              <w:pStyle w:val="19"/>
              <w:adjustRightInd/>
              <w:spacing w:after="0" w:line="240" w:lineRule="auto"/>
              <w:rPr>
                <w:rFonts w:hint="default" w:ascii="Times New Roman" w:hAnsi="Times New Roman" w:cs="Times New Roman"/>
                <w:spacing w:val="-1"/>
                <w:sz w:val="18"/>
                <w:szCs w:val="18"/>
              </w:rPr>
            </w:pPr>
            <w:r>
              <w:rPr>
                <w:rFonts w:hint="default" w:ascii="Times New Roman" w:hAnsi="Times New Roman" w:cs="Times New Roman"/>
                <w:spacing w:val="-1"/>
                <w:sz w:val="18"/>
                <w:szCs w:val="18"/>
              </w:rPr>
              <w:t>是否发现白蚁活动迹象的桩、坑、堆等，若有应绘简图并描述清楚。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633"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735" w:type="dxa"/>
            <w:vMerge w:val="restart"/>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工程结合部</w:t>
            </w:r>
          </w:p>
        </w:tc>
        <w:tc>
          <w:tcPr>
            <w:tcW w:w="1890" w:type="dxa"/>
            <w:gridSpan w:val="2"/>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坝体与溢洪道结合处</w:t>
            </w:r>
          </w:p>
        </w:tc>
        <w:tc>
          <w:tcPr>
            <w:tcW w:w="6312" w:type="dxa"/>
            <w:vMerge w:val="restart"/>
            <w:vAlign w:val="center"/>
          </w:tcPr>
          <w:p>
            <w:pPr>
              <w:pStyle w:val="19"/>
              <w:adjustRightInd/>
              <w:spacing w:after="0" w:line="240" w:lineRule="auto"/>
              <w:rPr>
                <w:rFonts w:hint="default" w:ascii="Times New Roman" w:hAnsi="Times New Roman" w:cs="Times New Roman"/>
                <w:spacing w:val="-1"/>
                <w:sz w:val="18"/>
                <w:szCs w:val="18"/>
              </w:rPr>
            </w:pPr>
            <w:r>
              <w:rPr>
                <w:rFonts w:hint="default" w:ascii="Times New Roman" w:hAnsi="Times New Roman" w:cs="Times New Roman"/>
                <w:spacing w:val="-1"/>
                <w:sz w:val="18"/>
                <w:szCs w:val="18"/>
              </w:rPr>
              <w:t>结合处附近有无裂缝、错动、土体淘空、异常变形、渗漏积水或杂草丛生等现象。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633"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735"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1890" w:type="dxa"/>
            <w:gridSpan w:val="2"/>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坝体与输水洞（管）结合处</w:t>
            </w:r>
          </w:p>
        </w:tc>
        <w:tc>
          <w:tcPr>
            <w:tcW w:w="6312" w:type="dxa"/>
            <w:vMerge w:val="continue"/>
            <w:vAlign w:val="center"/>
          </w:tcPr>
          <w:p>
            <w:pPr>
              <w:pStyle w:val="19"/>
              <w:adjustRightInd/>
              <w:spacing w:after="0" w:line="240" w:lineRule="auto"/>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633"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735"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1890" w:type="dxa"/>
            <w:gridSpan w:val="2"/>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坝体与坝基、坝端结合处</w:t>
            </w:r>
          </w:p>
        </w:tc>
        <w:tc>
          <w:tcPr>
            <w:tcW w:w="6312" w:type="dxa"/>
            <w:vMerge w:val="continue"/>
            <w:vAlign w:val="center"/>
          </w:tcPr>
          <w:p>
            <w:pPr>
              <w:pStyle w:val="19"/>
              <w:adjustRightInd/>
              <w:spacing w:after="0" w:line="240" w:lineRule="auto"/>
              <w:rPr>
                <w:rFonts w:hint="default" w:ascii="Times New Roman" w:hAnsi="Times New Roman" w:cs="Times New Roman"/>
                <w:sz w:val="18"/>
                <w:szCs w:val="18"/>
              </w:rPr>
            </w:pPr>
          </w:p>
        </w:tc>
      </w:tr>
    </w:tbl>
    <w:p>
      <w:pPr>
        <w:widowControl/>
        <w:spacing w:beforeLines="50" w:afterLines="50"/>
        <w:jc w:val="center"/>
        <w:outlineLvl w:val="2"/>
        <w:rPr>
          <w:rFonts w:hint="default" w:ascii="Times New Roman" w:hAnsi="Times New Roman" w:eastAsia="黑体" w:cs="Times New Roman"/>
          <w:kern w:val="0"/>
        </w:rPr>
      </w:pPr>
    </w:p>
    <w:p>
      <w:pPr>
        <w:widowControl/>
        <w:spacing w:beforeLines="50" w:afterLines="50"/>
        <w:jc w:val="center"/>
        <w:outlineLvl w:val="2"/>
        <w:rPr>
          <w:rFonts w:hint="default" w:ascii="Times New Roman" w:hAnsi="Times New Roman" w:cs="Times New Roman"/>
        </w:rPr>
      </w:pPr>
    </w:p>
    <w:p>
      <w:pPr>
        <w:widowControl/>
        <w:spacing w:beforeLines="50" w:afterLines="50"/>
        <w:jc w:val="center"/>
        <w:outlineLvl w:val="2"/>
        <w:rPr>
          <w:rFonts w:hint="default" w:ascii="Times New Roman" w:hAnsi="Times New Roman" w:eastAsia="黑体" w:cs="Times New Roman"/>
          <w:kern w:val="0"/>
        </w:rPr>
      </w:pPr>
      <w:bookmarkStart w:id="239" w:name="_Toc157087720"/>
      <w:bookmarkStart w:id="240" w:name="_Toc159919868"/>
      <w:bookmarkStart w:id="241" w:name="_Toc157087560"/>
      <w:bookmarkStart w:id="242" w:name="_Toc159919346"/>
      <w:bookmarkStart w:id="243" w:name="_Toc161410789"/>
    </w:p>
    <w:p>
      <w:pPr>
        <w:widowControl/>
        <w:spacing w:beforeLines="50" w:afterLines="50"/>
        <w:jc w:val="center"/>
        <w:outlineLvl w:val="2"/>
        <w:rPr>
          <w:rFonts w:hint="default" w:ascii="Times New Roman" w:hAnsi="Times New Roman" w:eastAsia="黑体" w:cs="Times New Roman"/>
          <w:kern w:val="0"/>
        </w:rPr>
      </w:pPr>
      <w:bookmarkStart w:id="244" w:name="_Toc163461489"/>
      <w:bookmarkStart w:id="245" w:name="_Toc163465933"/>
      <w:r>
        <w:rPr>
          <w:rFonts w:hint="default" w:ascii="Times New Roman" w:hAnsi="Times New Roman" w:eastAsia="黑体" w:cs="Times New Roman"/>
          <w:kern w:val="0"/>
        </w:rPr>
        <w:t>表C.1 土石坝检查内容表（续）</w:t>
      </w:r>
      <w:bookmarkEnd w:id="239"/>
      <w:bookmarkEnd w:id="240"/>
      <w:bookmarkEnd w:id="241"/>
      <w:bookmarkEnd w:id="242"/>
      <w:bookmarkEnd w:id="243"/>
      <w:bookmarkEnd w:id="244"/>
      <w:bookmarkEnd w:id="245"/>
    </w:p>
    <w:tbl>
      <w:tblPr>
        <w:tblStyle w:val="45"/>
        <w:tblW w:w="893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5"/>
        <w:gridCol w:w="843"/>
        <w:gridCol w:w="1470"/>
        <w:gridCol w:w="58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3048" w:type="dxa"/>
            <w:gridSpan w:val="3"/>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工程主要部位</w:t>
            </w:r>
          </w:p>
        </w:tc>
        <w:tc>
          <w:tcPr>
            <w:tcW w:w="5890" w:type="dxa"/>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检查主要内容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735" w:type="dxa"/>
            <w:vMerge w:val="restart"/>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泄水、输水建筑物</w:t>
            </w:r>
          </w:p>
        </w:tc>
        <w:tc>
          <w:tcPr>
            <w:tcW w:w="843" w:type="dxa"/>
            <w:vMerge w:val="restart"/>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溢洪道（溢流坝段）</w:t>
            </w:r>
          </w:p>
        </w:tc>
        <w:tc>
          <w:tcPr>
            <w:tcW w:w="1470" w:type="dxa"/>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进水段</w:t>
            </w:r>
          </w:p>
        </w:tc>
        <w:tc>
          <w:tcPr>
            <w:tcW w:w="5890" w:type="dxa"/>
            <w:vAlign w:val="center"/>
          </w:tcPr>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有无拦网、泥沙石块堆积、垃圾遍布、积水或杂草丛生等影响行洪的现象。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735"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843"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1470" w:type="dxa"/>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两侧边坡</w:t>
            </w:r>
          </w:p>
        </w:tc>
        <w:tc>
          <w:tcPr>
            <w:tcW w:w="5890" w:type="dxa"/>
            <w:vAlign w:val="center"/>
          </w:tcPr>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（1）护面及支护结构是否完好，是否存在坡面滑动迹象；</w:t>
            </w:r>
          </w:p>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（2）坡面排水系统有无异常。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735"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843"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1470" w:type="dxa"/>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堰顶或闸室</w:t>
            </w:r>
          </w:p>
        </w:tc>
        <w:tc>
          <w:tcPr>
            <w:tcW w:w="5890" w:type="dxa"/>
            <w:vAlign w:val="center"/>
          </w:tcPr>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（1）堰顶是否损坏；</w:t>
            </w:r>
          </w:p>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（2）闸室结构有无破损，是否存在裂缝、不均匀沉降、钢筋裸露等现象。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735"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843"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1470" w:type="dxa"/>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溢流面</w:t>
            </w:r>
          </w:p>
        </w:tc>
        <w:tc>
          <w:tcPr>
            <w:tcW w:w="5890" w:type="dxa"/>
            <w:vAlign w:val="center"/>
          </w:tcPr>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是否存在破损开裂、砼面板脱落、植物滋生等现象。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735"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843"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1470" w:type="dxa"/>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消能设施</w:t>
            </w:r>
          </w:p>
        </w:tc>
        <w:tc>
          <w:tcPr>
            <w:tcW w:w="5890" w:type="dxa"/>
            <w:vAlign w:val="center"/>
          </w:tcPr>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（1）是否设置防冲设施，消力池有无损坏或异常；</w:t>
            </w:r>
          </w:p>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（2）是否杂草丛生。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735"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843"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1470" w:type="dxa"/>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工作（交通）桥</w:t>
            </w:r>
          </w:p>
        </w:tc>
        <w:tc>
          <w:tcPr>
            <w:tcW w:w="5890" w:type="dxa"/>
            <w:vAlign w:val="center"/>
          </w:tcPr>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桥身结构有无破损，是否存在裂缝、错位、不均匀沉降、钢筋裸露等现象。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735"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843"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1470" w:type="dxa"/>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闸门或阀门</w:t>
            </w:r>
          </w:p>
        </w:tc>
        <w:tc>
          <w:tcPr>
            <w:tcW w:w="5890" w:type="dxa"/>
            <w:vAlign w:val="center"/>
          </w:tcPr>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（1）闸门或阀门是否锈蚀；</w:t>
            </w:r>
          </w:p>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（2）门叶是否正常运转；</w:t>
            </w:r>
          </w:p>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（3）止水设施是否完好，是否渗漏水；</w:t>
            </w:r>
          </w:p>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（4）门槽及埋设构件是否正常。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735"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843"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1470" w:type="dxa"/>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动力及启闭机</w:t>
            </w:r>
          </w:p>
        </w:tc>
        <w:tc>
          <w:tcPr>
            <w:tcW w:w="5890" w:type="dxa"/>
            <w:vAlign w:val="center"/>
          </w:tcPr>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（1）指示系统是否运行正常；</w:t>
            </w:r>
          </w:p>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（2）电动机能否正常启动；</w:t>
            </w:r>
          </w:p>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（3）启闭系统能否正常开启及设备零部件是否完好。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735"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843"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1470" w:type="dxa"/>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电气设备</w:t>
            </w:r>
          </w:p>
        </w:tc>
        <w:tc>
          <w:tcPr>
            <w:tcW w:w="5890" w:type="dxa"/>
            <w:vAlign w:val="center"/>
          </w:tcPr>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（1）供电电源是否运行正常，有无断电记录，电路线路是否老化；</w:t>
            </w:r>
          </w:p>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（2）电柜蓄电池是否及时更换。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735"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843"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1470" w:type="dxa"/>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下游河床及岸坡</w:t>
            </w:r>
          </w:p>
        </w:tc>
        <w:tc>
          <w:tcPr>
            <w:tcW w:w="5890" w:type="dxa"/>
            <w:vAlign w:val="center"/>
          </w:tcPr>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（1）下游河床是否长满杂草；</w:t>
            </w:r>
          </w:p>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（2）河床是否受冲刷；</w:t>
            </w:r>
          </w:p>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（3）河道是否变窄；</w:t>
            </w:r>
          </w:p>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（4）两岸岸坡是否存在滑坡现象。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735"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843" w:type="dxa"/>
            <w:vMerge w:val="restart"/>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输（泄）水隧洞、坝体涵管</w:t>
            </w:r>
          </w:p>
        </w:tc>
        <w:tc>
          <w:tcPr>
            <w:tcW w:w="1470" w:type="dxa"/>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引水段</w:t>
            </w:r>
          </w:p>
        </w:tc>
        <w:tc>
          <w:tcPr>
            <w:tcW w:w="5890" w:type="dxa"/>
            <w:vAlign w:val="center"/>
          </w:tcPr>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是否泥沙、石块淤积，是否遍布垃圾。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735"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843"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1470" w:type="dxa"/>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进水口</w:t>
            </w:r>
          </w:p>
        </w:tc>
        <w:tc>
          <w:tcPr>
            <w:tcW w:w="5890" w:type="dxa"/>
            <w:vAlign w:val="center"/>
          </w:tcPr>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（1）进水口是否通畅，有无枯木、垃圾堆积；</w:t>
            </w:r>
          </w:p>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（2）拦污栅有无损坏。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735"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843"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1470" w:type="dxa"/>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进水塔（竖井）</w:t>
            </w:r>
          </w:p>
        </w:tc>
        <w:tc>
          <w:tcPr>
            <w:tcW w:w="5890" w:type="dxa"/>
            <w:vAlign w:val="center"/>
          </w:tcPr>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塔身结构有无破损，是否存在裂缝、不均匀沉降、钢筋裸露等现象。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735"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843"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1470" w:type="dxa"/>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洞（管）身</w:t>
            </w:r>
          </w:p>
        </w:tc>
        <w:tc>
          <w:tcPr>
            <w:tcW w:w="5890" w:type="dxa"/>
            <w:vAlign w:val="center"/>
          </w:tcPr>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（1）是否存在钢筋（钢管）锈蚀、混凝土脱落、裂缝、渗漏水等现象；</w:t>
            </w:r>
          </w:p>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（2）洞（管）内通水是否顺畅。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735"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843"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1470" w:type="dxa"/>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出水口</w:t>
            </w:r>
          </w:p>
        </w:tc>
        <w:tc>
          <w:tcPr>
            <w:tcW w:w="5890" w:type="dxa"/>
            <w:vAlign w:val="center"/>
          </w:tcPr>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（1）出水口水流流态是否正常；</w:t>
            </w:r>
          </w:p>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（2）是否存在冲坑；</w:t>
            </w:r>
          </w:p>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（3）防护设施是否损坏。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735"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843"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1470" w:type="dxa"/>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工作桥</w:t>
            </w:r>
          </w:p>
        </w:tc>
        <w:tc>
          <w:tcPr>
            <w:tcW w:w="5890" w:type="dxa"/>
            <w:vAlign w:val="center"/>
          </w:tcPr>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桥身结构有无破损，是否存在裂缝、错位、不均匀沉降、钢筋裸露等现象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735"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843"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1470" w:type="dxa"/>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闸门或阀门</w:t>
            </w:r>
          </w:p>
        </w:tc>
        <w:tc>
          <w:tcPr>
            <w:tcW w:w="5890" w:type="dxa"/>
            <w:vAlign w:val="center"/>
          </w:tcPr>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（1）闸门或阀门是否锈蚀；</w:t>
            </w:r>
          </w:p>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（2）门叶是否正常运转；</w:t>
            </w:r>
          </w:p>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（3）止水设施是否完好，是否渗漏水；</w:t>
            </w:r>
          </w:p>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（4）门槽及埋设构件是否正常。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735"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843"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1470" w:type="dxa"/>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动力及启闭机</w:t>
            </w:r>
          </w:p>
        </w:tc>
        <w:tc>
          <w:tcPr>
            <w:tcW w:w="5890" w:type="dxa"/>
            <w:vAlign w:val="center"/>
          </w:tcPr>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（1）指示系统是否运行正常；</w:t>
            </w:r>
          </w:p>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（2）电动机能否正常启动；</w:t>
            </w:r>
          </w:p>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（3）启闭系统能否正常开启及设备零部件是否完好。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735"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843"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1470" w:type="dxa"/>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电气设备</w:t>
            </w:r>
          </w:p>
        </w:tc>
        <w:tc>
          <w:tcPr>
            <w:tcW w:w="5890" w:type="dxa"/>
            <w:vAlign w:val="center"/>
          </w:tcPr>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供电电源是否运行正常，有无断电记录，电路线路是否老化。</w:t>
            </w:r>
          </w:p>
        </w:tc>
      </w:tr>
    </w:tbl>
    <w:p>
      <w:pPr>
        <w:widowControl/>
        <w:spacing w:beforeLines="50" w:afterLines="50"/>
        <w:jc w:val="center"/>
        <w:outlineLvl w:val="2"/>
        <w:rPr>
          <w:rFonts w:hint="default" w:ascii="Times New Roman" w:hAnsi="Times New Roman" w:eastAsia="黑体" w:cs="Times New Roman"/>
          <w:kern w:val="0"/>
        </w:rPr>
      </w:pPr>
      <w:bookmarkStart w:id="246" w:name="_Toc157087721"/>
      <w:bookmarkStart w:id="247" w:name="_Toc159919869"/>
      <w:bookmarkStart w:id="248" w:name="_Toc161410790"/>
      <w:bookmarkStart w:id="249" w:name="_Toc159919347"/>
      <w:bookmarkStart w:id="250" w:name="_Toc157087561"/>
    </w:p>
    <w:p>
      <w:pPr>
        <w:widowControl/>
        <w:spacing w:beforeLines="50" w:afterLines="50"/>
        <w:jc w:val="center"/>
        <w:outlineLvl w:val="2"/>
        <w:rPr>
          <w:rFonts w:hint="default" w:ascii="Times New Roman" w:hAnsi="Times New Roman" w:eastAsia="黑体" w:cs="Times New Roman"/>
          <w:kern w:val="0"/>
        </w:rPr>
      </w:pPr>
      <w:bookmarkStart w:id="251" w:name="_Toc163461490"/>
      <w:bookmarkStart w:id="252" w:name="_Toc163465934"/>
      <w:r>
        <w:rPr>
          <w:rFonts w:hint="default" w:ascii="Times New Roman" w:hAnsi="Times New Roman" w:eastAsia="黑体" w:cs="Times New Roman"/>
          <w:kern w:val="0"/>
        </w:rPr>
        <w:t>表C.1 土石坝检查内容表（续）</w:t>
      </w:r>
      <w:bookmarkEnd w:id="246"/>
      <w:bookmarkEnd w:id="247"/>
      <w:bookmarkEnd w:id="248"/>
      <w:bookmarkEnd w:id="249"/>
      <w:bookmarkEnd w:id="250"/>
      <w:bookmarkEnd w:id="251"/>
      <w:bookmarkEnd w:id="252"/>
    </w:p>
    <w:tbl>
      <w:tblPr>
        <w:tblStyle w:val="45"/>
        <w:tblW w:w="893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5"/>
        <w:gridCol w:w="738"/>
        <w:gridCol w:w="1575"/>
        <w:gridCol w:w="58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3048" w:type="dxa"/>
            <w:gridSpan w:val="3"/>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工程主要部位</w:t>
            </w:r>
          </w:p>
        </w:tc>
        <w:tc>
          <w:tcPr>
            <w:tcW w:w="5890" w:type="dxa"/>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检查主要内容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735" w:type="dxa"/>
            <w:vMerge w:val="restart"/>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管理设施</w:t>
            </w:r>
          </w:p>
        </w:tc>
        <w:tc>
          <w:tcPr>
            <w:tcW w:w="738" w:type="dxa"/>
            <w:vMerge w:val="restart"/>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监测设施</w:t>
            </w:r>
          </w:p>
        </w:tc>
        <w:tc>
          <w:tcPr>
            <w:tcW w:w="1575" w:type="dxa"/>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环境量监测</w:t>
            </w:r>
          </w:p>
        </w:tc>
        <w:tc>
          <w:tcPr>
            <w:tcW w:w="5890" w:type="dxa"/>
          </w:tcPr>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（1）水尺等水位观测设施是否完好；</w:t>
            </w:r>
          </w:p>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（2）雨量监测设施是否正常运行；</w:t>
            </w:r>
          </w:p>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（3）是否设置坝前淤积和下游冲刷观测设施。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735"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738"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1575" w:type="dxa"/>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变形监测</w:t>
            </w:r>
          </w:p>
        </w:tc>
        <w:tc>
          <w:tcPr>
            <w:tcW w:w="5890" w:type="dxa"/>
          </w:tcPr>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（1）坝体表面变形、接（裂）缝变形、近坝岸坡变形、地下洞室围岩变形监测设施是否正常运行；</w:t>
            </w:r>
          </w:p>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（2）变形监测基点、站点有无异常或损坏。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735"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738"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1575" w:type="dxa"/>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渗流监测</w:t>
            </w:r>
          </w:p>
        </w:tc>
        <w:tc>
          <w:tcPr>
            <w:tcW w:w="5890" w:type="dxa"/>
          </w:tcPr>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（1）测压管是否都运行正常，有无堵塞；</w:t>
            </w:r>
          </w:p>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（2）量水堰有无破损、变位或倾斜；</w:t>
            </w:r>
          </w:p>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（3）绕坝渗流、近坝岸坡渗流、地下洞室渗流有无异常。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735"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738"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1575" w:type="dxa"/>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压力（应力）监测</w:t>
            </w:r>
          </w:p>
        </w:tc>
        <w:tc>
          <w:tcPr>
            <w:tcW w:w="5890" w:type="dxa"/>
          </w:tcPr>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是否设置孔隙水压力、土压力、应力应变及温度监测设施，有无损坏。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735"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738"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1575" w:type="dxa"/>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监测自动化系统</w:t>
            </w:r>
          </w:p>
        </w:tc>
        <w:tc>
          <w:tcPr>
            <w:tcW w:w="5890" w:type="dxa"/>
          </w:tcPr>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（1）现场网络数据和远程通信功能是否正常，传输线缆是否损坏；</w:t>
            </w:r>
          </w:p>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（2）防雷及抗干扰设施是否完整正常，有无损坏；</w:t>
            </w:r>
          </w:p>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（3）接收端电子设备、系统软件是否正常；</w:t>
            </w:r>
          </w:p>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（4）运行日志、故障日志是否按时记录。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735"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738" w:type="dxa"/>
            <w:vMerge w:val="restart"/>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管理与保护范围</w:t>
            </w:r>
          </w:p>
        </w:tc>
        <w:tc>
          <w:tcPr>
            <w:tcW w:w="1575" w:type="dxa"/>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工程管理保护设施</w:t>
            </w:r>
          </w:p>
        </w:tc>
        <w:tc>
          <w:tcPr>
            <w:tcW w:w="5890" w:type="dxa"/>
          </w:tcPr>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（1）工程管理保护设施如围墙、护栏、围挡等有无损坏；</w:t>
            </w:r>
          </w:p>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（2）坝顶过车限载设施及指示标牌是否完好。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735"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738"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1575" w:type="dxa"/>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界碑、界牌</w:t>
            </w:r>
          </w:p>
        </w:tc>
        <w:tc>
          <w:tcPr>
            <w:tcW w:w="5890" w:type="dxa"/>
          </w:tcPr>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界碑、界牌是否明显，有无损坏。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735"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738"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1575" w:type="dxa"/>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违法行为</w:t>
            </w:r>
          </w:p>
        </w:tc>
        <w:tc>
          <w:tcPr>
            <w:tcW w:w="5890" w:type="dxa"/>
            <w:vAlign w:val="center"/>
          </w:tcPr>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在管护范围内有无违法违规作业等行为。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735"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738"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1575" w:type="dxa"/>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告示牌、警示牌</w:t>
            </w:r>
          </w:p>
        </w:tc>
        <w:tc>
          <w:tcPr>
            <w:tcW w:w="5890" w:type="dxa"/>
            <w:vAlign w:val="center"/>
          </w:tcPr>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安全警示牌、法规宣传牌是否健全，有无损坏，遮挡。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735"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738" w:type="dxa"/>
            <w:vMerge w:val="restart"/>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附属管理设施</w:t>
            </w:r>
          </w:p>
        </w:tc>
        <w:tc>
          <w:tcPr>
            <w:tcW w:w="1575" w:type="dxa"/>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防汛物料</w:t>
            </w:r>
          </w:p>
        </w:tc>
        <w:tc>
          <w:tcPr>
            <w:tcW w:w="5890" w:type="dxa"/>
          </w:tcPr>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防汛物料是否充足，是否配备足够的铁锹、麻袋、推车等应急抢险设施和设备。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735"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738"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1575" w:type="dxa"/>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预警设施</w:t>
            </w:r>
          </w:p>
        </w:tc>
        <w:tc>
          <w:tcPr>
            <w:tcW w:w="5890" w:type="dxa"/>
          </w:tcPr>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是否配备预警设施，能否正常启动。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735"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738"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1575" w:type="dxa"/>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备用电源</w:t>
            </w:r>
          </w:p>
        </w:tc>
        <w:tc>
          <w:tcPr>
            <w:tcW w:w="5890" w:type="dxa"/>
            <w:vAlign w:val="center"/>
          </w:tcPr>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是否配备柴油发电机等备用电源，能否正常启动。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735"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738"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1575" w:type="dxa"/>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照明与应急照明设施</w:t>
            </w:r>
          </w:p>
        </w:tc>
        <w:tc>
          <w:tcPr>
            <w:tcW w:w="5890" w:type="dxa"/>
            <w:vAlign w:val="center"/>
          </w:tcPr>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照明灯具是否破损，应急照明设施是否能运行工作。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735"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738"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1575" w:type="dxa"/>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对外通讯与应急通讯设施</w:t>
            </w:r>
          </w:p>
        </w:tc>
        <w:tc>
          <w:tcPr>
            <w:tcW w:w="5890" w:type="dxa"/>
            <w:vAlign w:val="center"/>
          </w:tcPr>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是否配备对讲机、固定电话机、传真机等通讯设备，设备是否有效使用，通讯讯号是否正常。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735"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738"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1575" w:type="dxa"/>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供水与消防设施</w:t>
            </w:r>
          </w:p>
        </w:tc>
        <w:tc>
          <w:tcPr>
            <w:tcW w:w="5890" w:type="dxa"/>
            <w:vAlign w:val="center"/>
          </w:tcPr>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是否配备足够的消防器材，消防指示标志是否损坏。</w:t>
            </w:r>
          </w:p>
        </w:tc>
      </w:tr>
    </w:tbl>
    <w:p>
      <w:pPr>
        <w:pStyle w:val="34"/>
        <w:rPr>
          <w:rFonts w:hint="default" w:ascii="Times New Roman" w:hAnsi="Times New Roman" w:cs="Times New Roman"/>
        </w:rPr>
      </w:pPr>
    </w:p>
    <w:p>
      <w:pPr>
        <w:pStyle w:val="34"/>
        <w:rPr>
          <w:rFonts w:hint="default" w:ascii="Times New Roman" w:hAnsi="Times New Roman" w:cs="Times New Roman"/>
        </w:rPr>
      </w:pPr>
    </w:p>
    <w:p>
      <w:pPr>
        <w:pStyle w:val="34"/>
        <w:rPr>
          <w:rFonts w:hint="default" w:ascii="Times New Roman" w:hAnsi="Times New Roman" w:cs="Times New Roman"/>
        </w:rPr>
      </w:pPr>
    </w:p>
    <w:p>
      <w:pPr>
        <w:pStyle w:val="34"/>
        <w:rPr>
          <w:rFonts w:hint="default" w:ascii="Times New Roman" w:hAnsi="Times New Roman" w:cs="Times New Roman"/>
        </w:rPr>
      </w:pPr>
    </w:p>
    <w:p>
      <w:pPr>
        <w:pStyle w:val="34"/>
        <w:rPr>
          <w:rFonts w:hint="default" w:ascii="Times New Roman" w:hAnsi="Times New Roman" w:cs="Times New Roman"/>
        </w:rPr>
      </w:pPr>
    </w:p>
    <w:p>
      <w:pPr>
        <w:pStyle w:val="34"/>
        <w:rPr>
          <w:rFonts w:hint="default" w:ascii="Times New Roman" w:hAnsi="Times New Roman" w:cs="Times New Roman"/>
        </w:rPr>
      </w:pPr>
    </w:p>
    <w:p>
      <w:pPr>
        <w:pStyle w:val="34"/>
        <w:rPr>
          <w:rFonts w:hint="default" w:ascii="Times New Roman" w:hAnsi="Times New Roman" w:cs="Times New Roman"/>
        </w:rPr>
      </w:pPr>
    </w:p>
    <w:p>
      <w:pPr>
        <w:pStyle w:val="34"/>
        <w:rPr>
          <w:rFonts w:hint="default" w:ascii="Times New Roman" w:hAnsi="Times New Roman" w:cs="Times New Roman"/>
        </w:rPr>
      </w:pPr>
    </w:p>
    <w:p>
      <w:pPr>
        <w:pStyle w:val="34"/>
        <w:rPr>
          <w:rFonts w:hint="default" w:ascii="Times New Roman" w:hAnsi="Times New Roman" w:cs="Times New Roman"/>
        </w:rPr>
      </w:pPr>
    </w:p>
    <w:p>
      <w:pPr>
        <w:pStyle w:val="34"/>
        <w:rPr>
          <w:rFonts w:hint="default" w:ascii="Times New Roman" w:hAnsi="Times New Roman" w:cs="Times New Roman"/>
        </w:rPr>
      </w:pPr>
    </w:p>
    <w:p>
      <w:pPr>
        <w:pStyle w:val="34"/>
        <w:rPr>
          <w:rFonts w:hint="default" w:ascii="Times New Roman" w:hAnsi="Times New Roman" w:cs="Times New Roman"/>
        </w:rPr>
      </w:pPr>
    </w:p>
    <w:p>
      <w:pPr>
        <w:pStyle w:val="34"/>
        <w:rPr>
          <w:rFonts w:hint="default" w:ascii="Times New Roman" w:hAnsi="Times New Roman" w:cs="Times New Roman"/>
        </w:rPr>
      </w:pPr>
    </w:p>
    <w:p>
      <w:pPr>
        <w:widowControl/>
        <w:spacing w:beforeLines="50" w:afterLines="50"/>
        <w:jc w:val="center"/>
        <w:outlineLvl w:val="2"/>
        <w:rPr>
          <w:rFonts w:hint="default" w:ascii="Times New Roman" w:hAnsi="Times New Roman" w:eastAsia="黑体" w:cs="Times New Roman"/>
          <w:kern w:val="0"/>
        </w:rPr>
      </w:pPr>
      <w:bookmarkStart w:id="253" w:name="_Toc161410791"/>
      <w:bookmarkStart w:id="254" w:name="_Toc159919870"/>
      <w:bookmarkStart w:id="255" w:name="_Toc159919348"/>
      <w:bookmarkStart w:id="256" w:name="_Toc157087562"/>
      <w:bookmarkStart w:id="257" w:name="_Toc157087722"/>
    </w:p>
    <w:p>
      <w:pPr>
        <w:widowControl/>
        <w:spacing w:beforeLines="50" w:afterLines="50"/>
        <w:jc w:val="center"/>
        <w:outlineLvl w:val="2"/>
        <w:rPr>
          <w:rFonts w:hint="default" w:ascii="Times New Roman" w:hAnsi="Times New Roman" w:eastAsia="黑体" w:cs="Times New Roman"/>
          <w:kern w:val="0"/>
        </w:rPr>
      </w:pPr>
      <w:bookmarkStart w:id="258" w:name="_Toc163465935"/>
      <w:bookmarkStart w:id="259" w:name="_Toc163461491"/>
      <w:r>
        <w:rPr>
          <w:rFonts w:hint="default" w:ascii="Times New Roman" w:hAnsi="Times New Roman" w:eastAsia="黑体" w:cs="Times New Roman"/>
          <w:kern w:val="0"/>
        </w:rPr>
        <w:t>表C.2 砌石坝、混凝土坝检查内容表</w:t>
      </w:r>
      <w:bookmarkEnd w:id="253"/>
      <w:bookmarkEnd w:id="254"/>
      <w:bookmarkEnd w:id="255"/>
      <w:bookmarkEnd w:id="256"/>
      <w:bookmarkEnd w:id="257"/>
      <w:bookmarkEnd w:id="258"/>
      <w:bookmarkEnd w:id="259"/>
    </w:p>
    <w:tbl>
      <w:tblPr>
        <w:tblStyle w:val="45"/>
        <w:tblW w:w="957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33"/>
        <w:gridCol w:w="735"/>
        <w:gridCol w:w="840"/>
        <w:gridCol w:w="1050"/>
        <w:gridCol w:w="63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3258" w:type="dxa"/>
            <w:gridSpan w:val="4"/>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工程主要部位</w:t>
            </w:r>
          </w:p>
        </w:tc>
        <w:tc>
          <w:tcPr>
            <w:tcW w:w="6312" w:type="dxa"/>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检查主要内容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633" w:type="dxa"/>
            <w:vMerge w:val="restart"/>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挡</w:t>
            </w:r>
          </w:p>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水</w:t>
            </w:r>
          </w:p>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建</w:t>
            </w:r>
          </w:p>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筑</w:t>
            </w:r>
          </w:p>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物</w:t>
            </w:r>
          </w:p>
        </w:tc>
        <w:tc>
          <w:tcPr>
            <w:tcW w:w="735" w:type="dxa"/>
            <w:vMerge w:val="restart"/>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坝</w:t>
            </w:r>
          </w:p>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体</w:t>
            </w:r>
          </w:p>
        </w:tc>
        <w:tc>
          <w:tcPr>
            <w:tcW w:w="1890" w:type="dxa"/>
            <w:gridSpan w:val="2"/>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坝顶</w:t>
            </w:r>
          </w:p>
        </w:tc>
        <w:tc>
          <w:tcPr>
            <w:tcW w:w="6312" w:type="dxa"/>
            <w:vAlign w:val="center"/>
          </w:tcPr>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（1）有无裂缝、异常变形、积水或杂草丛生等现象；</w:t>
            </w:r>
          </w:p>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（2）伸缩缝开合状况。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633"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735"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1890" w:type="dxa"/>
            <w:gridSpan w:val="2"/>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防浪墙</w:t>
            </w:r>
          </w:p>
        </w:tc>
        <w:tc>
          <w:tcPr>
            <w:tcW w:w="6312" w:type="dxa"/>
            <w:vAlign w:val="center"/>
          </w:tcPr>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结构有无开裂、松动、架空、变形和倾斜等情况。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5" w:hRule="atLeast"/>
          <w:jc w:val="center"/>
        </w:trPr>
        <w:tc>
          <w:tcPr>
            <w:tcW w:w="633"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735"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840" w:type="dxa"/>
            <w:vMerge w:val="restart"/>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坝坡</w:t>
            </w:r>
          </w:p>
        </w:tc>
        <w:tc>
          <w:tcPr>
            <w:tcW w:w="1050" w:type="dxa"/>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迎水坡</w:t>
            </w:r>
          </w:p>
        </w:tc>
        <w:tc>
          <w:tcPr>
            <w:tcW w:w="6312" w:type="dxa"/>
            <w:vAlign w:val="center"/>
          </w:tcPr>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（1）有无裂缝、错动、沉陷、剥蚀；</w:t>
            </w:r>
          </w:p>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（2）伸缩缝开合状况；</w:t>
            </w:r>
          </w:p>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（3）止水设施工作状况；</w:t>
            </w:r>
          </w:p>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（4）近坝水面有无冒泡、变浑、漩涡等异常现象。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633"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735"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840"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1050" w:type="dxa"/>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背水坡</w:t>
            </w:r>
          </w:p>
        </w:tc>
        <w:tc>
          <w:tcPr>
            <w:tcW w:w="6312" w:type="dxa"/>
            <w:vAlign w:val="center"/>
          </w:tcPr>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（1）有无裂缝、错动、沉陷、剥蚀、钙质离析、渗水；</w:t>
            </w:r>
          </w:p>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（2）伸缩缝开合状况；</w:t>
            </w:r>
          </w:p>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（3）混凝土有无老化破损，有无溶蚀、水流侵蚀现象。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633"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735"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1890" w:type="dxa"/>
            <w:gridSpan w:val="2"/>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坝趾</w:t>
            </w:r>
          </w:p>
        </w:tc>
        <w:tc>
          <w:tcPr>
            <w:tcW w:w="6312" w:type="dxa"/>
            <w:vAlign w:val="center"/>
          </w:tcPr>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（1）下游坝趾有无冲刷、淘刷、管涌、塌陷；</w:t>
            </w:r>
          </w:p>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（2）渗漏水量、颜色、浑浊度及其变化情况。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633"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735"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1890" w:type="dxa"/>
            <w:gridSpan w:val="2"/>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廊道</w:t>
            </w:r>
          </w:p>
        </w:tc>
        <w:tc>
          <w:tcPr>
            <w:tcW w:w="6312" w:type="dxa"/>
            <w:vAlign w:val="center"/>
          </w:tcPr>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（1）廊道有无裂缝、位移、漏水、溶蚀、剥落等现象；</w:t>
            </w:r>
          </w:p>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（2）伸缩缝开合状况、止水设施工作状况；</w:t>
            </w:r>
          </w:p>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（3）照明通风状况。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633"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735"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1890" w:type="dxa"/>
            <w:gridSpan w:val="2"/>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导渗降压设施</w:t>
            </w:r>
          </w:p>
        </w:tc>
        <w:tc>
          <w:tcPr>
            <w:tcW w:w="6312" w:type="dxa"/>
            <w:vAlign w:val="center"/>
          </w:tcPr>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（1）导渗降压设施工作是否正常；</w:t>
            </w:r>
          </w:p>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（2）排水量、水体颜色及浑浊度。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633"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735"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1890" w:type="dxa"/>
            <w:gridSpan w:val="2"/>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排水系统</w:t>
            </w:r>
          </w:p>
        </w:tc>
        <w:tc>
          <w:tcPr>
            <w:tcW w:w="6312" w:type="dxa"/>
            <w:vAlign w:val="center"/>
          </w:tcPr>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（1）排水孔工作状况；</w:t>
            </w:r>
          </w:p>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（2）排水量、水体颜色及浑浊度。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633"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735" w:type="dxa"/>
            <w:vMerge w:val="restart"/>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坝基及坝区</w:t>
            </w:r>
          </w:p>
        </w:tc>
        <w:tc>
          <w:tcPr>
            <w:tcW w:w="1890" w:type="dxa"/>
            <w:gridSpan w:val="2"/>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坝基</w:t>
            </w:r>
          </w:p>
        </w:tc>
        <w:tc>
          <w:tcPr>
            <w:tcW w:w="6312" w:type="dxa"/>
            <w:vAlign w:val="center"/>
          </w:tcPr>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坝基是否渗漏水，渗漏水的水量、颜色、气味及浑浊度、酸碱度、温度有无变化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633"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735"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1890" w:type="dxa"/>
            <w:gridSpan w:val="2"/>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基础廊道</w:t>
            </w:r>
          </w:p>
        </w:tc>
        <w:tc>
          <w:tcPr>
            <w:tcW w:w="6312" w:type="dxa"/>
            <w:vAlign w:val="center"/>
          </w:tcPr>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（1）基础廊道有无裂缝、位移、漏水、溶蚀、剥落等现象；</w:t>
            </w:r>
          </w:p>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（2）伸缩缝开合状况、止水设施工作状况；</w:t>
            </w:r>
          </w:p>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（3）照明通风状况。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6" w:hRule="atLeast"/>
          <w:jc w:val="center"/>
        </w:trPr>
        <w:tc>
          <w:tcPr>
            <w:tcW w:w="633"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735"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1890" w:type="dxa"/>
            <w:gridSpan w:val="2"/>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两岸坝端</w:t>
            </w:r>
          </w:p>
        </w:tc>
        <w:tc>
          <w:tcPr>
            <w:tcW w:w="6312" w:type="dxa"/>
            <w:vAlign w:val="center"/>
          </w:tcPr>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（1）坝体与岸坡连接处有无错动、开裂及渗水等情况；</w:t>
            </w:r>
          </w:p>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（2）两岸坝端连接段有无裂缝、滑动、崩塌、溶蚀、隆起、异常渗水和蚁穴、兽洞等；</w:t>
            </w:r>
          </w:p>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（3）岸坡护面及支护结构有无变形、裂缝；</w:t>
            </w:r>
          </w:p>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（4）岸坡地下水露头有无异常，表面排水设施和排水孔工作是否正常。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633"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735"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1890" w:type="dxa"/>
            <w:gridSpan w:val="2"/>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坝趾近区</w:t>
            </w:r>
          </w:p>
        </w:tc>
        <w:tc>
          <w:tcPr>
            <w:tcW w:w="6312" w:type="dxa"/>
            <w:vAlign w:val="center"/>
          </w:tcPr>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（1）坝趾近区有无阴湿、渗水、管涌、流土或隆起等现象；有无杂草；</w:t>
            </w:r>
          </w:p>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（2）排水设施是否完好。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633"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735"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1890" w:type="dxa"/>
            <w:gridSpan w:val="2"/>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坝端岸坡</w:t>
            </w:r>
          </w:p>
        </w:tc>
        <w:tc>
          <w:tcPr>
            <w:tcW w:w="6312" w:type="dxa"/>
            <w:vAlign w:val="center"/>
          </w:tcPr>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（1）是否存在高边坡；</w:t>
            </w:r>
          </w:p>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（2）护面及支护结构是否完好，是否存在坡面滑动迹象；</w:t>
            </w:r>
          </w:p>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（3）坡面排水系统有无异常。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633"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735"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1890" w:type="dxa"/>
            <w:gridSpan w:val="2"/>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上游铺盖</w:t>
            </w:r>
          </w:p>
        </w:tc>
        <w:tc>
          <w:tcPr>
            <w:tcW w:w="6312" w:type="dxa"/>
            <w:vAlign w:val="center"/>
          </w:tcPr>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上游铺盖有无裂缝、变形、塌坑、杂草等。</w:t>
            </w:r>
          </w:p>
        </w:tc>
      </w:tr>
    </w:tbl>
    <w:p>
      <w:pPr>
        <w:widowControl/>
        <w:spacing w:beforeLines="50" w:afterLines="50"/>
        <w:jc w:val="center"/>
        <w:outlineLvl w:val="2"/>
        <w:rPr>
          <w:rFonts w:hint="default" w:ascii="Times New Roman" w:hAnsi="Times New Roman" w:eastAsia="黑体" w:cs="Times New Roman"/>
          <w:kern w:val="0"/>
        </w:rPr>
      </w:pPr>
    </w:p>
    <w:p>
      <w:pPr>
        <w:widowControl/>
        <w:spacing w:beforeLines="50" w:afterLines="50"/>
        <w:jc w:val="center"/>
        <w:outlineLvl w:val="2"/>
        <w:rPr>
          <w:rFonts w:hint="default" w:ascii="Times New Roman" w:hAnsi="Times New Roman" w:eastAsia="黑体" w:cs="Times New Roman"/>
          <w:kern w:val="0"/>
        </w:rPr>
      </w:pPr>
    </w:p>
    <w:p>
      <w:pPr>
        <w:widowControl/>
        <w:spacing w:beforeLines="50" w:afterLines="50"/>
        <w:jc w:val="center"/>
        <w:outlineLvl w:val="2"/>
        <w:rPr>
          <w:rFonts w:hint="default" w:ascii="Times New Roman" w:hAnsi="Times New Roman" w:cs="Times New Roman"/>
        </w:rPr>
      </w:pPr>
    </w:p>
    <w:p>
      <w:pPr>
        <w:widowControl/>
        <w:spacing w:beforeLines="50" w:afterLines="50"/>
        <w:jc w:val="center"/>
        <w:outlineLvl w:val="2"/>
        <w:rPr>
          <w:rFonts w:hint="default" w:ascii="Times New Roman" w:hAnsi="Times New Roman" w:eastAsia="黑体" w:cs="Times New Roman"/>
          <w:kern w:val="0"/>
        </w:rPr>
      </w:pPr>
      <w:bookmarkStart w:id="260" w:name="_Toc159919871"/>
      <w:bookmarkStart w:id="261" w:name="_Toc157087723"/>
      <w:bookmarkStart w:id="262" w:name="_Toc161410792"/>
      <w:bookmarkStart w:id="263" w:name="_Toc159919349"/>
      <w:bookmarkStart w:id="264" w:name="_Toc157087563"/>
    </w:p>
    <w:p>
      <w:pPr>
        <w:widowControl/>
        <w:spacing w:beforeLines="50" w:afterLines="50"/>
        <w:jc w:val="center"/>
        <w:outlineLvl w:val="2"/>
        <w:rPr>
          <w:rFonts w:hint="default" w:ascii="Times New Roman" w:hAnsi="Times New Roman" w:eastAsia="黑体" w:cs="Times New Roman"/>
          <w:kern w:val="0"/>
        </w:rPr>
      </w:pPr>
      <w:bookmarkStart w:id="265" w:name="_Toc163465936"/>
      <w:bookmarkStart w:id="266" w:name="_Toc163461492"/>
      <w:r>
        <w:rPr>
          <w:rFonts w:hint="default" w:ascii="Times New Roman" w:hAnsi="Times New Roman" w:eastAsia="黑体" w:cs="Times New Roman"/>
          <w:kern w:val="0"/>
        </w:rPr>
        <w:t>表C.2 砌石坝、混凝土坝检查内容表（续）</w:t>
      </w:r>
      <w:bookmarkEnd w:id="260"/>
      <w:bookmarkEnd w:id="261"/>
      <w:bookmarkEnd w:id="262"/>
      <w:bookmarkEnd w:id="263"/>
      <w:bookmarkEnd w:id="264"/>
      <w:bookmarkEnd w:id="265"/>
      <w:bookmarkEnd w:id="266"/>
    </w:p>
    <w:tbl>
      <w:tblPr>
        <w:tblStyle w:val="45"/>
        <w:tblW w:w="893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5"/>
        <w:gridCol w:w="843"/>
        <w:gridCol w:w="1470"/>
        <w:gridCol w:w="58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3048" w:type="dxa"/>
            <w:gridSpan w:val="3"/>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工程主要部位</w:t>
            </w:r>
          </w:p>
        </w:tc>
        <w:tc>
          <w:tcPr>
            <w:tcW w:w="5890" w:type="dxa"/>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检查主要内容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735" w:type="dxa"/>
            <w:vMerge w:val="restart"/>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泄水、输水建筑物</w:t>
            </w:r>
          </w:p>
        </w:tc>
        <w:tc>
          <w:tcPr>
            <w:tcW w:w="843" w:type="dxa"/>
            <w:vMerge w:val="restart"/>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溢洪道（溢流坝段）</w:t>
            </w:r>
          </w:p>
        </w:tc>
        <w:tc>
          <w:tcPr>
            <w:tcW w:w="1470" w:type="dxa"/>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进水段</w:t>
            </w:r>
          </w:p>
        </w:tc>
        <w:tc>
          <w:tcPr>
            <w:tcW w:w="5890" w:type="dxa"/>
            <w:vAlign w:val="center"/>
          </w:tcPr>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有无拦网、泥沙石块堆积、垃圾遍布、积水或杂草丛生等影响行洪的现象。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735"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843"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1470" w:type="dxa"/>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两侧边坡</w:t>
            </w:r>
          </w:p>
        </w:tc>
        <w:tc>
          <w:tcPr>
            <w:tcW w:w="5890" w:type="dxa"/>
            <w:vAlign w:val="center"/>
          </w:tcPr>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（1）护面及支护结构是否完好，是否存在坡面滑动迹象；</w:t>
            </w:r>
          </w:p>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（2）坡面排水系统有无异常。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735"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843"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1470" w:type="dxa"/>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堰顶或闸室</w:t>
            </w:r>
          </w:p>
        </w:tc>
        <w:tc>
          <w:tcPr>
            <w:tcW w:w="5890" w:type="dxa"/>
            <w:vAlign w:val="center"/>
          </w:tcPr>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（1）堰顶是否损坏；</w:t>
            </w:r>
          </w:p>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（2）闸室结构有无破损，是否存在裂缝、不均匀沉降、钢筋裸露等现象。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735"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843"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1470" w:type="dxa"/>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溢流面</w:t>
            </w:r>
          </w:p>
        </w:tc>
        <w:tc>
          <w:tcPr>
            <w:tcW w:w="5890" w:type="dxa"/>
            <w:vAlign w:val="center"/>
          </w:tcPr>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是否存在破损开裂、砼面板脱落、植物滋生等现象。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735"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843"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1470" w:type="dxa"/>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消能设施</w:t>
            </w:r>
          </w:p>
        </w:tc>
        <w:tc>
          <w:tcPr>
            <w:tcW w:w="5890" w:type="dxa"/>
            <w:vAlign w:val="center"/>
          </w:tcPr>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（1）是否设置防冲设施，消力池有无损坏或异常；</w:t>
            </w:r>
          </w:p>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（2）是否杂草丛生。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735"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843"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1470" w:type="dxa"/>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工作（交通）桥</w:t>
            </w:r>
          </w:p>
        </w:tc>
        <w:tc>
          <w:tcPr>
            <w:tcW w:w="5890" w:type="dxa"/>
            <w:vAlign w:val="center"/>
          </w:tcPr>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桥身结构有无破损，是否存在裂缝、错位、不均匀沉降、钢筋裸露等现象。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735"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843"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1470" w:type="dxa"/>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闸门或阀门</w:t>
            </w:r>
          </w:p>
        </w:tc>
        <w:tc>
          <w:tcPr>
            <w:tcW w:w="5890" w:type="dxa"/>
            <w:vAlign w:val="center"/>
          </w:tcPr>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（1）闸门或阀门是否锈蚀；</w:t>
            </w:r>
          </w:p>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（2）门叶是否正常运转；</w:t>
            </w:r>
          </w:p>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（3）止水设施是否完好，是否渗漏水；</w:t>
            </w:r>
          </w:p>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（4）门槽及埋设构件是否正常。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735"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843"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1470" w:type="dxa"/>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动力及启闭机</w:t>
            </w:r>
          </w:p>
        </w:tc>
        <w:tc>
          <w:tcPr>
            <w:tcW w:w="5890" w:type="dxa"/>
            <w:vAlign w:val="center"/>
          </w:tcPr>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（1）指示系统是否运行正常；</w:t>
            </w:r>
          </w:p>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（2）电动机能否正常启动；</w:t>
            </w:r>
          </w:p>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（3）启闭系统能否正常开启及设备零部件是否完好。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735"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843"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1470" w:type="dxa"/>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电气设备</w:t>
            </w:r>
          </w:p>
        </w:tc>
        <w:tc>
          <w:tcPr>
            <w:tcW w:w="5890" w:type="dxa"/>
            <w:vAlign w:val="center"/>
          </w:tcPr>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（1）供电电源是否运行正常，有无断电记录，电路线路是否老化；</w:t>
            </w:r>
          </w:p>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（2）电柜蓄电池是否及时更换。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735"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843"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1470" w:type="dxa"/>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下游河床及岸坡</w:t>
            </w:r>
          </w:p>
        </w:tc>
        <w:tc>
          <w:tcPr>
            <w:tcW w:w="5890" w:type="dxa"/>
            <w:vAlign w:val="center"/>
          </w:tcPr>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（1）下游河床是否长满杂草，河床是否受冲刷；</w:t>
            </w:r>
          </w:p>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（2）河道是否变窄；</w:t>
            </w:r>
          </w:p>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（3）两岸岸坡是否存在滑坡现象。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735"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843" w:type="dxa"/>
            <w:vMerge w:val="restart"/>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输泄水隧（涵）洞、坝身泄水孔</w:t>
            </w:r>
          </w:p>
        </w:tc>
        <w:tc>
          <w:tcPr>
            <w:tcW w:w="1470" w:type="dxa"/>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引水段</w:t>
            </w:r>
          </w:p>
        </w:tc>
        <w:tc>
          <w:tcPr>
            <w:tcW w:w="5890" w:type="dxa"/>
            <w:vAlign w:val="center"/>
          </w:tcPr>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是否泥沙、石块淤积，是否遍布垃圾。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735"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843"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1470" w:type="dxa"/>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进水口</w:t>
            </w:r>
          </w:p>
        </w:tc>
        <w:tc>
          <w:tcPr>
            <w:tcW w:w="5890" w:type="dxa"/>
            <w:vAlign w:val="center"/>
          </w:tcPr>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（1）进水口是否通畅，有无枯木、垃圾堆积；</w:t>
            </w:r>
          </w:p>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（2）拦污栅有无损坏。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735"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843"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1470" w:type="dxa"/>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进水塔（竖井）</w:t>
            </w:r>
          </w:p>
        </w:tc>
        <w:tc>
          <w:tcPr>
            <w:tcW w:w="5890" w:type="dxa"/>
            <w:vAlign w:val="center"/>
          </w:tcPr>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塔身结构有无破损，是否存在裂缝、不均匀沉降、钢筋裸露等现象。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735"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843"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1470" w:type="dxa"/>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洞（管）身</w:t>
            </w:r>
          </w:p>
        </w:tc>
        <w:tc>
          <w:tcPr>
            <w:tcW w:w="5890" w:type="dxa"/>
            <w:vAlign w:val="center"/>
          </w:tcPr>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（1）是否存在钢筋（钢管）锈蚀、混凝土脱落、裂缝、渗漏水等现象；</w:t>
            </w:r>
          </w:p>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（2）洞（管）内通水是否顺畅。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735"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843"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1470" w:type="dxa"/>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出水口</w:t>
            </w:r>
          </w:p>
        </w:tc>
        <w:tc>
          <w:tcPr>
            <w:tcW w:w="5890" w:type="dxa"/>
            <w:vAlign w:val="center"/>
          </w:tcPr>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（1）出水口水流流态是否正常；</w:t>
            </w:r>
          </w:p>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（2）是否存在冲坑。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735"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843"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1470" w:type="dxa"/>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消能设施</w:t>
            </w:r>
          </w:p>
        </w:tc>
        <w:tc>
          <w:tcPr>
            <w:tcW w:w="5890" w:type="dxa"/>
            <w:vAlign w:val="center"/>
          </w:tcPr>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（1）是否设置防冲设施，消力池有无损坏或异常；</w:t>
            </w:r>
          </w:p>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（2）是否杂草丛生。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735"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843"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1470" w:type="dxa"/>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工作桥</w:t>
            </w:r>
          </w:p>
        </w:tc>
        <w:tc>
          <w:tcPr>
            <w:tcW w:w="5890" w:type="dxa"/>
            <w:vAlign w:val="center"/>
          </w:tcPr>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桥身结构有无破损，是否存在裂缝、错位、不均匀沉降、钢筋裸露等现象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735"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843"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1470" w:type="dxa"/>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闸门或阀门</w:t>
            </w:r>
          </w:p>
        </w:tc>
        <w:tc>
          <w:tcPr>
            <w:tcW w:w="5890" w:type="dxa"/>
            <w:vAlign w:val="center"/>
          </w:tcPr>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（1）闸门或阀门是否锈蚀；</w:t>
            </w:r>
          </w:p>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（2）门叶是否正常运转；</w:t>
            </w:r>
          </w:p>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（3）止水设施是否完好，是否渗漏水；</w:t>
            </w:r>
          </w:p>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（4）门槽及埋设构件是否正常。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735"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843"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1470" w:type="dxa"/>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动力及启闭机</w:t>
            </w:r>
          </w:p>
        </w:tc>
        <w:tc>
          <w:tcPr>
            <w:tcW w:w="5890" w:type="dxa"/>
            <w:vAlign w:val="center"/>
          </w:tcPr>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（1）指示系统是否运行正常；</w:t>
            </w:r>
          </w:p>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（2）电动机能否正常启动；</w:t>
            </w:r>
          </w:p>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（3）启闭系统能否正常开启及设备零部件是否完好。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735"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843"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1470" w:type="dxa"/>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电气设备</w:t>
            </w:r>
          </w:p>
        </w:tc>
        <w:tc>
          <w:tcPr>
            <w:tcW w:w="5890" w:type="dxa"/>
            <w:vAlign w:val="center"/>
          </w:tcPr>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供电电源是否运行正常，有无断电记录，电路线路是否老化。</w:t>
            </w:r>
          </w:p>
        </w:tc>
      </w:tr>
    </w:tbl>
    <w:p>
      <w:pPr>
        <w:widowControl/>
        <w:spacing w:beforeLines="50" w:afterLines="50"/>
        <w:jc w:val="center"/>
        <w:outlineLvl w:val="2"/>
        <w:rPr>
          <w:rFonts w:hint="default" w:ascii="Times New Roman" w:hAnsi="Times New Roman" w:eastAsia="黑体" w:cs="Times New Roman"/>
          <w:kern w:val="0"/>
        </w:rPr>
      </w:pPr>
      <w:bookmarkStart w:id="267" w:name="_Toc157087564"/>
      <w:bookmarkStart w:id="268" w:name="_Toc157087724"/>
      <w:bookmarkStart w:id="269" w:name="_Toc159919872"/>
      <w:bookmarkStart w:id="270" w:name="_Toc161410793"/>
      <w:bookmarkStart w:id="271" w:name="_Toc159919350"/>
    </w:p>
    <w:p>
      <w:pPr>
        <w:widowControl/>
        <w:spacing w:beforeLines="50" w:afterLines="50"/>
        <w:jc w:val="center"/>
        <w:outlineLvl w:val="2"/>
        <w:rPr>
          <w:rFonts w:hint="default" w:ascii="Times New Roman" w:hAnsi="Times New Roman" w:eastAsia="黑体" w:cs="Times New Roman"/>
          <w:kern w:val="0"/>
        </w:rPr>
      </w:pPr>
      <w:bookmarkStart w:id="272" w:name="_Toc163465937"/>
      <w:bookmarkStart w:id="273" w:name="_Toc163461493"/>
      <w:r>
        <w:rPr>
          <w:rFonts w:hint="default" w:ascii="Times New Roman" w:hAnsi="Times New Roman" w:eastAsia="黑体" w:cs="Times New Roman"/>
          <w:kern w:val="0"/>
        </w:rPr>
        <w:t>表C.2 砌石坝、混凝土坝检查内容表（续）</w:t>
      </w:r>
      <w:bookmarkEnd w:id="267"/>
      <w:bookmarkEnd w:id="268"/>
      <w:bookmarkEnd w:id="269"/>
      <w:bookmarkEnd w:id="270"/>
      <w:bookmarkEnd w:id="271"/>
      <w:bookmarkEnd w:id="272"/>
      <w:bookmarkEnd w:id="273"/>
    </w:p>
    <w:tbl>
      <w:tblPr>
        <w:tblStyle w:val="45"/>
        <w:tblW w:w="893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5"/>
        <w:gridCol w:w="738"/>
        <w:gridCol w:w="1575"/>
        <w:gridCol w:w="58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3048" w:type="dxa"/>
            <w:gridSpan w:val="3"/>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工程主要部位</w:t>
            </w:r>
          </w:p>
        </w:tc>
        <w:tc>
          <w:tcPr>
            <w:tcW w:w="5890" w:type="dxa"/>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检查主要内容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735" w:type="dxa"/>
            <w:vMerge w:val="restart"/>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管理设施</w:t>
            </w:r>
          </w:p>
        </w:tc>
        <w:tc>
          <w:tcPr>
            <w:tcW w:w="738" w:type="dxa"/>
            <w:vMerge w:val="restart"/>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监测设施</w:t>
            </w:r>
          </w:p>
        </w:tc>
        <w:tc>
          <w:tcPr>
            <w:tcW w:w="1575" w:type="dxa"/>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环境量监测</w:t>
            </w:r>
          </w:p>
        </w:tc>
        <w:tc>
          <w:tcPr>
            <w:tcW w:w="5890" w:type="dxa"/>
          </w:tcPr>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（1）水尺等水位观测设施是否完好；</w:t>
            </w:r>
          </w:p>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（2）雨量监测设施是否正常运行；</w:t>
            </w:r>
          </w:p>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（3）是否设置坝前淤积和下游冲刷观测设施；</w:t>
            </w:r>
          </w:p>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（4）库水温及气温是否按期观测。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735"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738"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1575" w:type="dxa"/>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变形监测</w:t>
            </w:r>
          </w:p>
        </w:tc>
        <w:tc>
          <w:tcPr>
            <w:tcW w:w="5890" w:type="dxa"/>
          </w:tcPr>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（1）坝体位移、倾斜、接（裂）缝变形、坝基位移、近坝岸坡变形、洞室围岩变形监测设施是否正常运行；</w:t>
            </w:r>
          </w:p>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（2）变形监测基点、站点有无异常或损坏。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735"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738"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1575" w:type="dxa"/>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渗流监测</w:t>
            </w:r>
          </w:p>
        </w:tc>
        <w:tc>
          <w:tcPr>
            <w:tcW w:w="5890" w:type="dxa"/>
          </w:tcPr>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（1）渗流量、廊道抽水设施是否正常；</w:t>
            </w:r>
          </w:p>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（2）扬压力及坝基深部渗透压力、坝体渗透压力是否正常；</w:t>
            </w:r>
          </w:p>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（3）绕坝渗流有无异常；</w:t>
            </w:r>
          </w:p>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（4）水质是否异常。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735"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738"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1575" w:type="dxa"/>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应力、应变与温度监测</w:t>
            </w:r>
          </w:p>
        </w:tc>
        <w:tc>
          <w:tcPr>
            <w:tcW w:w="5890" w:type="dxa"/>
          </w:tcPr>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（1）应力、应变监测设施是否完好，有无损坏；</w:t>
            </w:r>
          </w:p>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（2）混凝土或砌石体内部温度、坝基温度监测设施是否完好，温度有无异常。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735"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738"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1575" w:type="dxa"/>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监测自动化系统</w:t>
            </w:r>
          </w:p>
        </w:tc>
        <w:tc>
          <w:tcPr>
            <w:tcW w:w="5890" w:type="dxa"/>
          </w:tcPr>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（1）现场网络数据和远程通信功能是否正常，传输线缆是否损坏；</w:t>
            </w:r>
          </w:p>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（2）防雷及抗干扰设施是否完整正常，有无损坏；</w:t>
            </w:r>
          </w:p>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（3）接收端电子设备、系统软件是否正常；</w:t>
            </w:r>
          </w:p>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（4）运行日志、故障日志是否按时记录。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735"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738" w:type="dxa"/>
            <w:vMerge w:val="restart"/>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管理与保护范围</w:t>
            </w:r>
          </w:p>
        </w:tc>
        <w:tc>
          <w:tcPr>
            <w:tcW w:w="1575" w:type="dxa"/>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工程管理保护设施</w:t>
            </w:r>
          </w:p>
        </w:tc>
        <w:tc>
          <w:tcPr>
            <w:tcW w:w="5890" w:type="dxa"/>
          </w:tcPr>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（1）工程管理保护设施如围墙、护栏、围挡等有无损坏；</w:t>
            </w:r>
          </w:p>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（2）坝顶过车限载设施及指示标牌是否完好。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735"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738"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1575" w:type="dxa"/>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界碑、界牌</w:t>
            </w:r>
          </w:p>
        </w:tc>
        <w:tc>
          <w:tcPr>
            <w:tcW w:w="5890" w:type="dxa"/>
          </w:tcPr>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界碑、界牌是否明显，有无损坏。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735"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738"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1575" w:type="dxa"/>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违法行为</w:t>
            </w:r>
          </w:p>
        </w:tc>
        <w:tc>
          <w:tcPr>
            <w:tcW w:w="5890" w:type="dxa"/>
            <w:vAlign w:val="center"/>
          </w:tcPr>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在管护范围内有无违法违规作业等行为。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735"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738"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1575" w:type="dxa"/>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告示牌、警示牌</w:t>
            </w:r>
          </w:p>
        </w:tc>
        <w:tc>
          <w:tcPr>
            <w:tcW w:w="5890" w:type="dxa"/>
            <w:vAlign w:val="center"/>
          </w:tcPr>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安全警示牌、法规宣传牌是否健全，有无损坏，遮挡。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735"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738" w:type="dxa"/>
            <w:vMerge w:val="restart"/>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附属管理设施</w:t>
            </w:r>
          </w:p>
        </w:tc>
        <w:tc>
          <w:tcPr>
            <w:tcW w:w="1575" w:type="dxa"/>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防汛物料</w:t>
            </w:r>
          </w:p>
        </w:tc>
        <w:tc>
          <w:tcPr>
            <w:tcW w:w="5890" w:type="dxa"/>
          </w:tcPr>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防汛物料是否充足，是否配备足够的铁锹、麻袋、推车等应急抢险设施和设备。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735"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738"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1575" w:type="dxa"/>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预警设施</w:t>
            </w:r>
          </w:p>
        </w:tc>
        <w:tc>
          <w:tcPr>
            <w:tcW w:w="5890" w:type="dxa"/>
          </w:tcPr>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是否配备预警设施，能否正常启动。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735"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738"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1575" w:type="dxa"/>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备用电源</w:t>
            </w:r>
          </w:p>
        </w:tc>
        <w:tc>
          <w:tcPr>
            <w:tcW w:w="5890" w:type="dxa"/>
            <w:vAlign w:val="center"/>
          </w:tcPr>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是否配备柴油发电机等备用电源，能否正常启动。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735"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738"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1575" w:type="dxa"/>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照明与应急照明设施</w:t>
            </w:r>
          </w:p>
        </w:tc>
        <w:tc>
          <w:tcPr>
            <w:tcW w:w="5890" w:type="dxa"/>
            <w:vAlign w:val="center"/>
          </w:tcPr>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照明灯具是否破损，应急照明设施是否能运行工作。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735"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738"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1575" w:type="dxa"/>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对外通讯与应急通讯设施</w:t>
            </w:r>
          </w:p>
        </w:tc>
        <w:tc>
          <w:tcPr>
            <w:tcW w:w="5890" w:type="dxa"/>
            <w:vAlign w:val="center"/>
          </w:tcPr>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是否配备对讲机、固定电话机、传真机等通讯设备，设备是否有效使用，通讯讯号是否正常。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735"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738" w:type="dxa"/>
            <w:vMerge w:val="continue"/>
            <w:vAlign w:val="center"/>
          </w:tcPr>
          <w:p>
            <w:pPr>
              <w:pStyle w:val="19"/>
              <w:adjustRightInd/>
              <w:spacing w:after="0" w:line="240" w:lineRule="auto"/>
              <w:jc w:val="center"/>
              <w:rPr>
                <w:rFonts w:hint="default" w:ascii="Times New Roman" w:hAnsi="Times New Roman" w:cs="Times New Roman"/>
                <w:sz w:val="18"/>
                <w:szCs w:val="18"/>
              </w:rPr>
            </w:pPr>
          </w:p>
        </w:tc>
        <w:tc>
          <w:tcPr>
            <w:tcW w:w="1575" w:type="dxa"/>
            <w:vAlign w:val="center"/>
          </w:tcPr>
          <w:p>
            <w:pPr>
              <w:pStyle w:val="19"/>
              <w:adjustRightInd/>
              <w:spacing w:after="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供水与消防设施</w:t>
            </w:r>
          </w:p>
        </w:tc>
        <w:tc>
          <w:tcPr>
            <w:tcW w:w="5890" w:type="dxa"/>
            <w:vAlign w:val="center"/>
          </w:tcPr>
          <w:p>
            <w:pPr>
              <w:pStyle w:val="19"/>
              <w:adjustRightInd/>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t>是否配备足够的消防器材，消防指示标志是否损坏。</w:t>
            </w:r>
          </w:p>
        </w:tc>
      </w:tr>
    </w:tbl>
    <w:p>
      <w:pPr>
        <w:pStyle w:val="34"/>
        <w:rPr>
          <w:rFonts w:hint="default" w:ascii="Times New Roman" w:hAnsi="Times New Roman" w:cs="Times New Roman"/>
        </w:rPr>
      </w:pPr>
    </w:p>
    <w:p>
      <w:pPr>
        <w:pStyle w:val="34"/>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br w:type="page"/>
      </w:r>
    </w:p>
    <w:p>
      <w:pPr>
        <w:pStyle w:val="203"/>
        <w:spacing w:before="78" w:after="156"/>
        <w:rPr>
          <w:rFonts w:hint="default" w:ascii="Times New Roman" w:hAnsi="Times New Roman" w:cs="Times New Roman"/>
        </w:rPr>
      </w:pPr>
      <w:bookmarkStart w:id="274" w:name="_Toc163465938"/>
      <w:r>
        <w:rPr>
          <w:rFonts w:hint="default" w:ascii="Times New Roman" w:hAnsi="Times New Roman" w:cs="Times New Roman"/>
        </w:rPr>
        <w:t>附录D</w:t>
      </w:r>
      <w:r>
        <w:rPr>
          <w:rFonts w:hint="default" w:ascii="Times New Roman" w:hAnsi="Times New Roman" w:cs="Times New Roman"/>
        </w:rPr>
        <w:br w:type="textWrapping"/>
      </w:r>
      <w:r>
        <w:rPr>
          <w:rFonts w:hint="default" w:ascii="Times New Roman" w:hAnsi="Times New Roman" w:cs="Times New Roman"/>
        </w:rPr>
        <w:t>（资料性附录）</w:t>
      </w:r>
      <w:r>
        <w:rPr>
          <w:rFonts w:hint="default" w:ascii="Times New Roman" w:hAnsi="Times New Roman" w:cs="Times New Roman"/>
        </w:rPr>
        <w:br w:type="textWrapping"/>
      </w:r>
      <w:r>
        <w:rPr>
          <w:rFonts w:hint="default" w:ascii="Times New Roman" w:hAnsi="Times New Roman" w:cs="Times New Roman"/>
        </w:rPr>
        <w:t>日常巡查记录</w:t>
      </w:r>
      <w:bookmarkEnd w:id="274"/>
    </w:p>
    <w:p>
      <w:pPr>
        <w:widowControl/>
        <w:tabs>
          <w:tab w:val="center" w:pos="4201"/>
          <w:tab w:val="right" w:leader="dot" w:pos="9298"/>
        </w:tabs>
        <w:autoSpaceDE w:val="0"/>
        <w:autoSpaceDN w:val="0"/>
        <w:ind w:firstLine="420" w:firstLineChars="200"/>
        <w:rPr>
          <w:rFonts w:hint="default" w:ascii="Times New Roman" w:hAnsi="Times New Roman" w:cs="Times New Roman"/>
          <w:kern w:val="0"/>
        </w:rPr>
      </w:pPr>
      <w:r>
        <w:rPr>
          <w:rFonts w:hint="default" w:ascii="Times New Roman" w:hAnsi="Times New Roman" w:cs="Times New Roman"/>
          <w:kern w:val="0"/>
        </w:rPr>
        <w:t>表D.1给出了日常巡查记录表。</w:t>
      </w:r>
    </w:p>
    <w:p>
      <w:pPr>
        <w:widowControl/>
        <w:spacing w:beforeLines="50" w:afterLines="50"/>
        <w:jc w:val="center"/>
        <w:outlineLvl w:val="2"/>
        <w:rPr>
          <w:rFonts w:hint="default" w:ascii="Times New Roman" w:hAnsi="Times New Roman" w:eastAsia="黑体" w:cs="Times New Roman"/>
          <w:kern w:val="0"/>
        </w:rPr>
      </w:pPr>
      <w:bookmarkStart w:id="275" w:name="_Toc22575"/>
      <w:bookmarkStart w:id="276" w:name="_Toc152683785"/>
      <w:bookmarkStart w:id="277" w:name="_Toc163465939"/>
      <w:bookmarkStart w:id="278" w:name="_Toc157087726"/>
      <w:bookmarkStart w:id="279" w:name="_Toc159919352"/>
      <w:bookmarkStart w:id="280" w:name="_Toc149559770"/>
      <w:bookmarkStart w:id="281" w:name="_Toc163461495"/>
      <w:bookmarkStart w:id="282" w:name="_Toc159919874"/>
      <w:bookmarkStart w:id="283" w:name="_Toc161410795"/>
      <w:bookmarkStart w:id="284" w:name="_Toc152685364"/>
      <w:bookmarkStart w:id="285" w:name="_Toc533756542"/>
      <w:bookmarkStart w:id="286" w:name="_Toc533756499"/>
      <w:bookmarkStart w:id="287" w:name="_Toc157087566"/>
      <w:r>
        <w:rPr>
          <w:rFonts w:hint="default" w:ascii="Times New Roman" w:hAnsi="Times New Roman" w:eastAsia="黑体" w:cs="Times New Roman"/>
          <w:kern w:val="0"/>
        </w:rPr>
        <w:t>表D.1 日常巡查记录表</w:t>
      </w:r>
      <w:bookmarkEnd w:id="275"/>
      <w:bookmarkEnd w:id="276"/>
      <w:bookmarkEnd w:id="277"/>
      <w:bookmarkEnd w:id="278"/>
      <w:bookmarkEnd w:id="279"/>
      <w:bookmarkEnd w:id="280"/>
      <w:bookmarkEnd w:id="281"/>
      <w:bookmarkEnd w:id="282"/>
      <w:bookmarkEnd w:id="283"/>
      <w:bookmarkEnd w:id="284"/>
      <w:bookmarkEnd w:id="285"/>
      <w:bookmarkEnd w:id="286"/>
      <w:bookmarkEnd w:id="287"/>
    </w:p>
    <w:tbl>
      <w:tblPr>
        <w:tblStyle w:val="45"/>
        <w:tblW w:w="953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14"/>
        <w:gridCol w:w="1780"/>
        <w:gridCol w:w="857"/>
        <w:gridCol w:w="986"/>
        <w:gridCol w:w="1709"/>
        <w:gridCol w:w="796"/>
        <w:gridCol w:w="17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40" w:hRule="atLeast"/>
          <w:jc w:val="center"/>
        </w:trPr>
        <w:tc>
          <w:tcPr>
            <w:tcW w:w="1614" w:type="dxa"/>
            <w:tcBorders>
              <w:top w:val="single" w:color="auto" w:sz="4" w:space="0"/>
              <w:left w:val="single" w:color="auto" w:sz="4" w:space="0"/>
              <w:bottom w:val="single" w:color="auto" w:sz="4" w:space="0"/>
              <w:right w:val="single" w:color="auto" w:sz="4" w:space="0"/>
            </w:tcBorders>
            <w:vAlign w:val="center"/>
          </w:tcPr>
          <w:p>
            <w:pPr>
              <w:widowControl/>
              <w:tabs>
                <w:tab w:val="center" w:pos="4201"/>
                <w:tab w:val="right" w:leader="dot" w:pos="9298"/>
              </w:tabs>
              <w:autoSpaceDE w:val="0"/>
              <w:autoSpaceDN w:val="0"/>
              <w:adjustRightInd w:val="0"/>
              <w:snapToGrid w:val="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检查时间</w:t>
            </w:r>
          </w:p>
        </w:tc>
        <w:tc>
          <w:tcPr>
            <w:tcW w:w="1780" w:type="dxa"/>
            <w:tcBorders>
              <w:top w:val="single" w:color="auto" w:sz="4" w:space="0"/>
              <w:left w:val="single" w:color="auto" w:sz="4" w:space="0"/>
              <w:bottom w:val="single" w:color="auto" w:sz="4" w:space="0"/>
              <w:right w:val="single" w:color="auto" w:sz="4" w:space="0"/>
            </w:tcBorders>
            <w:vAlign w:val="center"/>
          </w:tcPr>
          <w:p>
            <w:pPr>
              <w:widowControl/>
              <w:tabs>
                <w:tab w:val="center" w:pos="4201"/>
                <w:tab w:val="right" w:leader="dot" w:pos="9298"/>
              </w:tabs>
              <w:autoSpaceDE w:val="0"/>
              <w:autoSpaceDN w:val="0"/>
              <w:adjustRightInd w:val="0"/>
              <w:snapToGrid w:val="0"/>
              <w:ind w:firstLine="360" w:firstLineChars="200"/>
              <w:rPr>
                <w:rFonts w:hint="default" w:ascii="Times New Roman" w:hAnsi="Times New Roman" w:cs="Times New Roman"/>
                <w:kern w:val="0"/>
                <w:sz w:val="18"/>
                <w:szCs w:val="18"/>
              </w:rPr>
            </w:pPr>
            <w:r>
              <w:rPr>
                <w:rFonts w:hint="default" w:ascii="Times New Roman" w:hAnsi="Times New Roman" w:cs="Times New Roman"/>
                <w:kern w:val="0"/>
                <w:sz w:val="18"/>
                <w:szCs w:val="18"/>
              </w:rPr>
              <w:t>月   日</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水位/溢流水深</w:t>
            </w:r>
          </w:p>
        </w:tc>
        <w:tc>
          <w:tcPr>
            <w:tcW w:w="1709" w:type="dxa"/>
            <w:tcBorders>
              <w:top w:val="single" w:color="auto" w:sz="4" w:space="0"/>
              <w:left w:val="single" w:color="auto" w:sz="4" w:space="0"/>
              <w:bottom w:val="single" w:color="auto" w:sz="4" w:space="0"/>
              <w:right w:val="single" w:color="auto" w:sz="4" w:space="0"/>
            </w:tcBorders>
            <w:vAlign w:val="center"/>
          </w:tcPr>
          <w:p>
            <w:pPr>
              <w:widowControl/>
              <w:tabs>
                <w:tab w:val="center" w:pos="4201"/>
                <w:tab w:val="right" w:leader="dot" w:pos="9298"/>
              </w:tabs>
              <w:autoSpaceDE w:val="0"/>
              <w:autoSpaceDN w:val="0"/>
              <w:adjustRightInd w:val="0"/>
              <w:snapToGrid w:val="0"/>
              <w:ind w:firstLine="540" w:firstLineChars="300"/>
              <w:rPr>
                <w:rFonts w:hint="default" w:ascii="Times New Roman" w:hAnsi="Times New Roman" w:cs="Times New Roman"/>
                <w:kern w:val="0"/>
                <w:sz w:val="18"/>
                <w:szCs w:val="18"/>
              </w:rPr>
            </w:pPr>
            <w:r>
              <w:rPr>
                <w:rFonts w:hint="default" w:ascii="Times New Roman" w:hAnsi="Times New Roman" w:cs="Times New Roman"/>
                <w:kern w:val="0"/>
                <w:sz w:val="18"/>
                <w:szCs w:val="18"/>
              </w:rPr>
              <w:t>m/  m</w:t>
            </w:r>
          </w:p>
        </w:tc>
        <w:tc>
          <w:tcPr>
            <w:tcW w:w="796" w:type="dxa"/>
            <w:tcBorders>
              <w:top w:val="single" w:color="auto" w:sz="4" w:space="0"/>
              <w:left w:val="single" w:color="auto" w:sz="4" w:space="0"/>
              <w:bottom w:val="single" w:color="auto" w:sz="4" w:space="0"/>
              <w:right w:val="single" w:color="auto" w:sz="4" w:space="0"/>
            </w:tcBorders>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天气</w:t>
            </w:r>
          </w:p>
        </w:tc>
        <w:tc>
          <w:tcPr>
            <w:tcW w:w="1792" w:type="dxa"/>
            <w:tcBorders>
              <w:top w:val="single" w:color="auto" w:sz="4" w:space="0"/>
              <w:left w:val="single" w:color="auto" w:sz="4" w:space="0"/>
              <w:bottom w:val="single" w:color="auto" w:sz="4" w:space="0"/>
              <w:right w:val="single" w:color="auto" w:sz="4" w:space="0"/>
            </w:tcBorders>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晴□阴□雨□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73" w:hRule="atLeast"/>
          <w:jc w:val="center"/>
        </w:trPr>
        <w:tc>
          <w:tcPr>
            <w:tcW w:w="9534" w:type="dxa"/>
            <w:gridSpan w:val="7"/>
            <w:tcBorders>
              <w:top w:val="single" w:color="auto" w:sz="4" w:space="0"/>
              <w:left w:val="single" w:color="auto" w:sz="4" w:space="0"/>
              <w:bottom w:val="single" w:color="auto" w:sz="4" w:space="0"/>
              <w:right w:val="single" w:color="auto" w:sz="4" w:space="0"/>
            </w:tcBorders>
            <w:vAlign w:val="center"/>
          </w:tcPr>
          <w:p>
            <w:pPr>
              <w:widowControl/>
              <w:tabs>
                <w:tab w:val="center" w:pos="4201"/>
                <w:tab w:val="right" w:leader="dot" w:pos="9298"/>
              </w:tabs>
              <w:autoSpaceDE w:val="0"/>
              <w:autoSpaceDN w:val="0"/>
              <w:adjustRightInd w:val="0"/>
              <w:snapToGrid w:val="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检查内容与情况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39" w:hRule="atLeast"/>
          <w:jc w:val="center"/>
        </w:trPr>
        <w:tc>
          <w:tcPr>
            <w:tcW w:w="1614" w:type="dxa"/>
            <w:tcBorders>
              <w:top w:val="single" w:color="auto" w:sz="4" w:space="0"/>
              <w:left w:val="single" w:color="auto" w:sz="4" w:space="0"/>
              <w:bottom w:val="single" w:color="auto" w:sz="4" w:space="0"/>
              <w:right w:val="single" w:color="auto" w:sz="4" w:space="0"/>
            </w:tcBorders>
            <w:vAlign w:val="center"/>
          </w:tcPr>
          <w:p>
            <w:pPr>
              <w:widowControl/>
              <w:tabs>
                <w:tab w:val="center" w:pos="4201"/>
                <w:tab w:val="right" w:leader="dot" w:pos="9298"/>
              </w:tabs>
              <w:autoSpaceDE w:val="0"/>
              <w:autoSpaceDN w:val="0"/>
              <w:adjustRightInd w:val="0"/>
              <w:snapToGrid w:val="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防浪墙</w:t>
            </w:r>
          </w:p>
        </w:tc>
        <w:tc>
          <w:tcPr>
            <w:tcW w:w="2637" w:type="dxa"/>
            <w:gridSpan w:val="2"/>
            <w:tcBorders>
              <w:top w:val="single" w:color="auto" w:sz="4" w:space="0"/>
              <w:left w:val="single" w:color="auto" w:sz="4" w:space="0"/>
              <w:bottom w:val="single" w:color="auto" w:sz="4" w:space="0"/>
              <w:right w:val="single" w:color="auto" w:sz="4" w:space="0"/>
            </w:tcBorders>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开裂：无□ 有□；</w:t>
            </w:r>
          </w:p>
        </w:tc>
        <w:tc>
          <w:tcPr>
            <w:tcW w:w="2695" w:type="dxa"/>
            <w:gridSpan w:val="2"/>
            <w:tcBorders>
              <w:top w:val="single" w:color="auto" w:sz="4" w:space="0"/>
              <w:left w:val="single" w:color="auto" w:sz="4" w:space="0"/>
              <w:bottom w:val="single" w:color="auto" w:sz="4" w:space="0"/>
              <w:right w:val="single" w:color="auto" w:sz="4" w:space="0"/>
            </w:tcBorders>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错断：无□ 有□；</w:t>
            </w:r>
          </w:p>
        </w:tc>
        <w:tc>
          <w:tcPr>
            <w:tcW w:w="2588" w:type="dxa"/>
            <w:gridSpan w:val="2"/>
            <w:tcBorders>
              <w:top w:val="single" w:color="auto" w:sz="4" w:space="0"/>
              <w:left w:val="single" w:color="auto" w:sz="4" w:space="0"/>
              <w:bottom w:val="single" w:color="auto" w:sz="4" w:space="0"/>
              <w:right w:val="single" w:color="auto" w:sz="4" w:space="0"/>
            </w:tcBorders>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倾斜：无□ 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45" w:hRule="atLeast"/>
          <w:jc w:val="center"/>
        </w:trPr>
        <w:tc>
          <w:tcPr>
            <w:tcW w:w="1614" w:type="dxa"/>
            <w:tcBorders>
              <w:top w:val="single" w:color="auto" w:sz="4" w:space="0"/>
              <w:left w:val="single" w:color="auto" w:sz="4" w:space="0"/>
              <w:bottom w:val="single" w:color="auto" w:sz="4" w:space="0"/>
              <w:right w:val="single" w:color="auto" w:sz="4" w:space="0"/>
            </w:tcBorders>
            <w:vAlign w:val="center"/>
          </w:tcPr>
          <w:p>
            <w:pPr>
              <w:widowControl/>
              <w:tabs>
                <w:tab w:val="center" w:pos="4201"/>
                <w:tab w:val="right" w:leader="dot" w:pos="9298"/>
              </w:tabs>
              <w:autoSpaceDE w:val="0"/>
              <w:autoSpaceDN w:val="0"/>
              <w:adjustRightInd w:val="0"/>
              <w:snapToGrid w:val="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坝  顶</w:t>
            </w:r>
          </w:p>
        </w:tc>
        <w:tc>
          <w:tcPr>
            <w:tcW w:w="3623" w:type="dxa"/>
            <w:gridSpan w:val="3"/>
            <w:tcBorders>
              <w:top w:val="single" w:color="auto" w:sz="4" w:space="0"/>
              <w:left w:val="single" w:color="auto" w:sz="4" w:space="0"/>
              <w:bottom w:val="single" w:color="auto" w:sz="4" w:space="0"/>
              <w:right w:val="single" w:color="auto" w:sz="4" w:space="0"/>
            </w:tcBorders>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裂缝：无□ 有□</w:t>
            </w:r>
          </w:p>
        </w:tc>
        <w:tc>
          <w:tcPr>
            <w:tcW w:w="4297" w:type="dxa"/>
            <w:gridSpan w:val="3"/>
            <w:tcBorders>
              <w:top w:val="single" w:color="auto" w:sz="4" w:space="0"/>
              <w:left w:val="single" w:color="auto" w:sz="4" w:space="0"/>
              <w:bottom w:val="single" w:color="auto" w:sz="4" w:space="0"/>
              <w:right w:val="single" w:color="auto" w:sz="4" w:space="0"/>
            </w:tcBorders>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积水或植物滋生：无□ 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66" w:hRule="atLeast"/>
          <w:jc w:val="center"/>
        </w:trPr>
        <w:tc>
          <w:tcPr>
            <w:tcW w:w="1614"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center" w:pos="4201"/>
                <w:tab w:val="right" w:leader="dot" w:pos="9298"/>
              </w:tabs>
              <w:autoSpaceDE w:val="0"/>
              <w:autoSpaceDN w:val="0"/>
              <w:adjustRightInd w:val="0"/>
              <w:snapToGrid w:val="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上游坝坡</w:t>
            </w:r>
          </w:p>
        </w:tc>
        <w:tc>
          <w:tcPr>
            <w:tcW w:w="1780" w:type="dxa"/>
            <w:tcBorders>
              <w:top w:val="single" w:color="auto" w:sz="4" w:space="0"/>
              <w:left w:val="single" w:color="auto" w:sz="4" w:space="0"/>
              <w:bottom w:val="single" w:color="auto" w:sz="4" w:space="0"/>
              <w:right w:val="single" w:color="auto" w:sz="4" w:space="0"/>
            </w:tcBorders>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裂缝：无□ 有□</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塌坑：无□ 有□</w:t>
            </w:r>
          </w:p>
        </w:tc>
        <w:tc>
          <w:tcPr>
            <w:tcW w:w="1709" w:type="dxa"/>
            <w:tcBorders>
              <w:top w:val="single" w:color="auto" w:sz="4" w:space="0"/>
              <w:left w:val="single" w:color="auto" w:sz="4" w:space="0"/>
              <w:bottom w:val="single" w:color="auto" w:sz="4" w:space="0"/>
              <w:right w:val="single" w:color="auto" w:sz="4" w:space="0"/>
            </w:tcBorders>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凹陷：无□ 有□</w:t>
            </w:r>
          </w:p>
        </w:tc>
        <w:tc>
          <w:tcPr>
            <w:tcW w:w="2588" w:type="dxa"/>
            <w:gridSpan w:val="2"/>
            <w:tcBorders>
              <w:top w:val="single" w:color="auto" w:sz="4" w:space="0"/>
              <w:left w:val="single" w:color="auto" w:sz="4" w:space="0"/>
              <w:bottom w:val="single" w:color="auto" w:sz="4" w:space="0"/>
              <w:right w:val="single" w:color="auto" w:sz="4" w:space="0"/>
            </w:tcBorders>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隆起：无□ 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96" w:hRule="atLeast"/>
          <w:jc w:val="center"/>
        </w:trPr>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tabs>
                <w:tab w:val="center" w:pos="4201"/>
                <w:tab w:val="right" w:leader="dot" w:pos="9298"/>
              </w:tabs>
              <w:autoSpaceDE w:val="0"/>
              <w:autoSpaceDN w:val="0"/>
              <w:adjustRightInd w:val="0"/>
              <w:snapToGrid w:val="0"/>
              <w:jc w:val="center"/>
              <w:rPr>
                <w:rFonts w:hint="default" w:ascii="Times New Roman" w:hAnsi="Times New Roman" w:cs="Times New Roman"/>
                <w:kern w:val="0"/>
                <w:sz w:val="18"/>
                <w:szCs w:val="18"/>
              </w:rPr>
            </w:pPr>
          </w:p>
        </w:tc>
        <w:tc>
          <w:tcPr>
            <w:tcW w:w="2637" w:type="dxa"/>
            <w:gridSpan w:val="2"/>
            <w:tcBorders>
              <w:top w:val="single" w:color="auto" w:sz="4" w:space="0"/>
              <w:left w:val="single" w:color="auto" w:sz="4" w:space="0"/>
              <w:bottom w:val="single" w:color="auto" w:sz="4" w:space="0"/>
              <w:right w:val="single" w:color="auto" w:sz="4" w:space="0"/>
            </w:tcBorders>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护坡：完整□  破坏□</w:t>
            </w:r>
          </w:p>
        </w:tc>
        <w:tc>
          <w:tcPr>
            <w:tcW w:w="2695" w:type="dxa"/>
            <w:gridSpan w:val="2"/>
            <w:tcBorders>
              <w:top w:val="single" w:color="auto" w:sz="4" w:space="0"/>
              <w:left w:val="single" w:color="auto" w:sz="4" w:space="0"/>
              <w:bottom w:val="single" w:color="auto" w:sz="4" w:space="0"/>
              <w:right w:val="single" w:color="auto" w:sz="4" w:space="0"/>
            </w:tcBorders>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植物滋生：无□ 有□</w:t>
            </w:r>
          </w:p>
        </w:tc>
        <w:tc>
          <w:tcPr>
            <w:tcW w:w="2588" w:type="dxa"/>
            <w:gridSpan w:val="2"/>
            <w:tcBorders>
              <w:top w:val="single" w:color="auto" w:sz="4" w:space="0"/>
              <w:left w:val="single" w:color="auto" w:sz="4" w:space="0"/>
              <w:bottom w:val="single" w:color="auto" w:sz="4" w:space="0"/>
              <w:right w:val="single" w:color="auto" w:sz="4" w:space="0"/>
            </w:tcBorders>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其它：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5" w:hRule="atLeast"/>
          <w:jc w:val="center"/>
        </w:trPr>
        <w:tc>
          <w:tcPr>
            <w:tcW w:w="1614"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center" w:pos="4201"/>
                <w:tab w:val="right" w:leader="dot" w:pos="9298"/>
              </w:tabs>
              <w:autoSpaceDE w:val="0"/>
              <w:autoSpaceDN w:val="0"/>
              <w:adjustRightInd w:val="0"/>
              <w:snapToGrid w:val="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下游坝坡</w:t>
            </w:r>
          </w:p>
        </w:tc>
        <w:tc>
          <w:tcPr>
            <w:tcW w:w="2637" w:type="dxa"/>
            <w:gridSpan w:val="2"/>
            <w:tcBorders>
              <w:top w:val="single" w:color="auto" w:sz="4" w:space="0"/>
              <w:left w:val="single" w:color="auto" w:sz="4" w:space="0"/>
              <w:bottom w:val="single" w:color="auto" w:sz="4" w:space="0"/>
              <w:right w:val="single" w:color="auto" w:sz="4" w:space="0"/>
            </w:tcBorders>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裂缝：无□ 有□</w:t>
            </w:r>
          </w:p>
        </w:tc>
        <w:tc>
          <w:tcPr>
            <w:tcW w:w="2695" w:type="dxa"/>
            <w:gridSpan w:val="2"/>
            <w:tcBorders>
              <w:top w:val="single" w:color="auto" w:sz="4" w:space="0"/>
              <w:left w:val="single" w:color="auto" w:sz="4" w:space="0"/>
              <w:bottom w:val="single" w:color="auto" w:sz="4" w:space="0"/>
              <w:right w:val="single" w:color="auto" w:sz="4" w:space="0"/>
            </w:tcBorders>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塌坑、凹陷：无□ 有□</w:t>
            </w:r>
          </w:p>
        </w:tc>
        <w:tc>
          <w:tcPr>
            <w:tcW w:w="2588" w:type="dxa"/>
            <w:gridSpan w:val="2"/>
            <w:tcBorders>
              <w:top w:val="single" w:color="auto" w:sz="4" w:space="0"/>
              <w:left w:val="single" w:color="auto" w:sz="4" w:space="0"/>
              <w:bottom w:val="single" w:color="auto" w:sz="4" w:space="0"/>
              <w:right w:val="single" w:color="auto" w:sz="4" w:space="0"/>
            </w:tcBorders>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隆起：无□ 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67" w:hRule="atLeast"/>
          <w:jc w:val="center"/>
        </w:trPr>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tabs>
                <w:tab w:val="center" w:pos="4201"/>
                <w:tab w:val="right" w:leader="dot" w:pos="9298"/>
              </w:tabs>
              <w:autoSpaceDE w:val="0"/>
              <w:autoSpaceDN w:val="0"/>
              <w:adjustRightInd w:val="0"/>
              <w:snapToGrid w:val="0"/>
              <w:jc w:val="center"/>
              <w:rPr>
                <w:rFonts w:hint="default" w:ascii="Times New Roman" w:hAnsi="Times New Roman" w:cs="Times New Roman"/>
                <w:kern w:val="0"/>
                <w:sz w:val="18"/>
                <w:szCs w:val="18"/>
              </w:rPr>
            </w:pPr>
          </w:p>
        </w:tc>
        <w:tc>
          <w:tcPr>
            <w:tcW w:w="2637" w:type="dxa"/>
            <w:gridSpan w:val="2"/>
            <w:tcBorders>
              <w:top w:val="single" w:color="auto" w:sz="4" w:space="0"/>
              <w:left w:val="single" w:color="auto" w:sz="4" w:space="0"/>
              <w:bottom w:val="single" w:color="auto" w:sz="4" w:space="0"/>
              <w:right w:val="single" w:color="auto" w:sz="4" w:space="0"/>
            </w:tcBorders>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异常渗水：无□ 有□</w:t>
            </w:r>
          </w:p>
        </w:tc>
        <w:tc>
          <w:tcPr>
            <w:tcW w:w="2695" w:type="dxa"/>
            <w:gridSpan w:val="2"/>
            <w:tcBorders>
              <w:top w:val="single" w:color="auto" w:sz="4" w:space="0"/>
              <w:left w:val="single" w:color="auto" w:sz="4" w:space="0"/>
              <w:bottom w:val="single" w:color="auto" w:sz="4" w:space="0"/>
              <w:right w:val="single" w:color="auto" w:sz="4" w:space="0"/>
            </w:tcBorders>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植物滋生：无□ 有□</w:t>
            </w:r>
          </w:p>
        </w:tc>
        <w:tc>
          <w:tcPr>
            <w:tcW w:w="2588" w:type="dxa"/>
            <w:gridSpan w:val="2"/>
            <w:tcBorders>
              <w:top w:val="single" w:color="auto" w:sz="4" w:space="0"/>
              <w:left w:val="single" w:color="auto" w:sz="4" w:space="0"/>
              <w:bottom w:val="single" w:color="auto" w:sz="4" w:space="0"/>
              <w:right w:val="single" w:color="auto" w:sz="4" w:space="0"/>
            </w:tcBorders>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白蚁迹象：无□ 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14" w:hRule="atLeast"/>
          <w:jc w:val="center"/>
        </w:trPr>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tabs>
                <w:tab w:val="center" w:pos="4201"/>
                <w:tab w:val="right" w:leader="dot" w:pos="9298"/>
              </w:tabs>
              <w:autoSpaceDE w:val="0"/>
              <w:autoSpaceDN w:val="0"/>
              <w:adjustRightInd w:val="0"/>
              <w:snapToGrid w:val="0"/>
              <w:jc w:val="center"/>
              <w:rPr>
                <w:rFonts w:hint="default" w:ascii="Times New Roman" w:hAnsi="Times New Roman" w:cs="Times New Roman"/>
                <w:kern w:val="0"/>
                <w:sz w:val="18"/>
                <w:szCs w:val="18"/>
              </w:rPr>
            </w:pPr>
          </w:p>
        </w:tc>
        <w:tc>
          <w:tcPr>
            <w:tcW w:w="2637" w:type="dxa"/>
            <w:gridSpan w:val="2"/>
            <w:tcBorders>
              <w:top w:val="single" w:color="auto" w:sz="4" w:space="0"/>
              <w:left w:val="single" w:color="auto" w:sz="4" w:space="0"/>
              <w:bottom w:val="single" w:color="auto" w:sz="4" w:space="0"/>
              <w:right w:val="single" w:color="auto" w:sz="4" w:space="0"/>
            </w:tcBorders>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动物洞穴：无□ 有□</w:t>
            </w:r>
          </w:p>
        </w:tc>
        <w:tc>
          <w:tcPr>
            <w:tcW w:w="2695" w:type="dxa"/>
            <w:gridSpan w:val="2"/>
            <w:tcBorders>
              <w:top w:val="single" w:color="auto" w:sz="4" w:space="0"/>
              <w:left w:val="single" w:color="auto" w:sz="4" w:space="0"/>
              <w:bottom w:val="single" w:color="auto" w:sz="4" w:space="0"/>
              <w:right w:val="single" w:color="auto" w:sz="4" w:space="0"/>
            </w:tcBorders>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排水棱体：完整□  破损□</w:t>
            </w:r>
          </w:p>
        </w:tc>
        <w:tc>
          <w:tcPr>
            <w:tcW w:w="2588" w:type="dxa"/>
            <w:gridSpan w:val="2"/>
            <w:tcBorders>
              <w:top w:val="single" w:color="auto" w:sz="4" w:space="0"/>
              <w:left w:val="single" w:color="auto" w:sz="4" w:space="0"/>
              <w:bottom w:val="single" w:color="auto" w:sz="4" w:space="0"/>
              <w:right w:val="single" w:color="auto" w:sz="4" w:space="0"/>
            </w:tcBorders>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其它（如漏水声等）：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58" w:hRule="atLeast"/>
          <w:jc w:val="center"/>
        </w:trPr>
        <w:tc>
          <w:tcPr>
            <w:tcW w:w="1614"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center" w:pos="4201"/>
                <w:tab w:val="right" w:leader="dot" w:pos="9298"/>
              </w:tabs>
              <w:autoSpaceDE w:val="0"/>
              <w:autoSpaceDN w:val="0"/>
              <w:adjustRightInd w:val="0"/>
              <w:snapToGrid w:val="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坝址区</w:t>
            </w:r>
          </w:p>
        </w:tc>
        <w:tc>
          <w:tcPr>
            <w:tcW w:w="2637" w:type="dxa"/>
            <w:gridSpan w:val="2"/>
            <w:tcBorders>
              <w:top w:val="single" w:color="auto" w:sz="4" w:space="0"/>
              <w:left w:val="single" w:color="auto" w:sz="4" w:space="0"/>
              <w:bottom w:val="single" w:color="auto" w:sz="4" w:space="0"/>
              <w:right w:val="single" w:color="auto" w:sz="4" w:space="0"/>
            </w:tcBorders>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阴湿、渗水：无□ 有□</w:t>
            </w:r>
          </w:p>
        </w:tc>
        <w:tc>
          <w:tcPr>
            <w:tcW w:w="2695" w:type="dxa"/>
            <w:gridSpan w:val="2"/>
            <w:tcBorders>
              <w:top w:val="single" w:color="auto" w:sz="4" w:space="0"/>
              <w:left w:val="single" w:color="auto" w:sz="4" w:space="0"/>
              <w:bottom w:val="single" w:color="auto" w:sz="4" w:space="0"/>
              <w:right w:val="single" w:color="auto" w:sz="4" w:space="0"/>
            </w:tcBorders>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冒水、渗水坑：无□ 有□</w:t>
            </w:r>
          </w:p>
        </w:tc>
        <w:tc>
          <w:tcPr>
            <w:tcW w:w="2588" w:type="dxa"/>
            <w:gridSpan w:val="2"/>
            <w:tcBorders>
              <w:top w:val="single" w:color="auto" w:sz="4" w:space="0"/>
              <w:left w:val="single" w:color="auto" w:sz="4" w:space="0"/>
              <w:bottom w:val="single" w:color="auto" w:sz="4" w:space="0"/>
              <w:right w:val="single" w:color="auto" w:sz="4" w:space="0"/>
            </w:tcBorders>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渗透水浑浊度：清□ 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25" w:hRule="atLeast"/>
          <w:jc w:val="center"/>
        </w:trPr>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tabs>
                <w:tab w:val="center" w:pos="4201"/>
                <w:tab w:val="right" w:leader="dot" w:pos="9298"/>
              </w:tabs>
              <w:autoSpaceDE w:val="0"/>
              <w:autoSpaceDN w:val="0"/>
              <w:adjustRightInd w:val="0"/>
              <w:snapToGrid w:val="0"/>
              <w:jc w:val="center"/>
              <w:rPr>
                <w:rFonts w:hint="default" w:ascii="Times New Roman" w:hAnsi="Times New Roman" w:cs="Times New Roman"/>
                <w:kern w:val="0"/>
                <w:sz w:val="18"/>
                <w:szCs w:val="18"/>
              </w:rPr>
            </w:pPr>
          </w:p>
        </w:tc>
        <w:tc>
          <w:tcPr>
            <w:tcW w:w="2637" w:type="dxa"/>
            <w:gridSpan w:val="2"/>
            <w:tcBorders>
              <w:top w:val="single" w:color="auto" w:sz="4" w:space="0"/>
              <w:left w:val="single" w:color="auto" w:sz="4" w:space="0"/>
              <w:bottom w:val="single" w:color="auto" w:sz="4" w:space="0"/>
              <w:right w:val="single" w:color="auto" w:sz="4" w:space="0"/>
            </w:tcBorders>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植物滋生：无□ 有□</w:t>
            </w:r>
          </w:p>
        </w:tc>
        <w:tc>
          <w:tcPr>
            <w:tcW w:w="5283" w:type="dxa"/>
            <w:gridSpan w:val="4"/>
            <w:tcBorders>
              <w:top w:val="single" w:color="auto" w:sz="4" w:space="0"/>
              <w:left w:val="single" w:color="auto" w:sz="4" w:space="0"/>
              <w:bottom w:val="single" w:color="auto" w:sz="4" w:space="0"/>
              <w:right w:val="single" w:color="auto" w:sz="4" w:space="0"/>
            </w:tcBorders>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其它：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68" w:hRule="atLeast"/>
          <w:jc w:val="center"/>
        </w:trPr>
        <w:tc>
          <w:tcPr>
            <w:tcW w:w="1614"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center" w:pos="4201"/>
                <w:tab w:val="right" w:leader="dot" w:pos="9298"/>
              </w:tabs>
              <w:autoSpaceDE w:val="0"/>
              <w:autoSpaceDN w:val="0"/>
              <w:adjustRightInd w:val="0"/>
              <w:snapToGrid w:val="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两坝端</w:t>
            </w:r>
          </w:p>
          <w:p>
            <w:pPr>
              <w:widowControl/>
              <w:tabs>
                <w:tab w:val="center" w:pos="4201"/>
                <w:tab w:val="right" w:leader="dot" w:pos="9298"/>
              </w:tabs>
              <w:autoSpaceDE w:val="0"/>
              <w:autoSpaceDN w:val="0"/>
              <w:adjustRightInd w:val="0"/>
              <w:snapToGrid w:val="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（坝体与岸坡连接处）</w:t>
            </w:r>
          </w:p>
        </w:tc>
        <w:tc>
          <w:tcPr>
            <w:tcW w:w="2637" w:type="dxa"/>
            <w:gridSpan w:val="2"/>
            <w:tcBorders>
              <w:top w:val="single" w:color="auto" w:sz="4" w:space="0"/>
              <w:left w:val="single" w:color="auto" w:sz="4" w:space="0"/>
              <w:bottom w:val="single" w:color="auto" w:sz="4" w:space="0"/>
              <w:right w:val="single" w:color="auto" w:sz="4" w:space="0"/>
            </w:tcBorders>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裂缝：无□ 有□</w:t>
            </w:r>
          </w:p>
        </w:tc>
        <w:tc>
          <w:tcPr>
            <w:tcW w:w="2695" w:type="dxa"/>
            <w:gridSpan w:val="2"/>
            <w:tcBorders>
              <w:top w:val="single" w:color="auto" w:sz="4" w:space="0"/>
              <w:left w:val="single" w:color="auto" w:sz="4" w:space="0"/>
              <w:bottom w:val="single" w:color="auto" w:sz="4" w:space="0"/>
              <w:right w:val="single" w:color="auto" w:sz="4" w:space="0"/>
            </w:tcBorders>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隆起：无□ 有□</w:t>
            </w:r>
          </w:p>
        </w:tc>
        <w:tc>
          <w:tcPr>
            <w:tcW w:w="2588" w:type="dxa"/>
            <w:gridSpan w:val="2"/>
            <w:tcBorders>
              <w:top w:val="single" w:color="auto" w:sz="4" w:space="0"/>
              <w:left w:val="single" w:color="auto" w:sz="4" w:space="0"/>
              <w:bottom w:val="single" w:color="auto" w:sz="4" w:space="0"/>
              <w:right w:val="single" w:color="auto" w:sz="4" w:space="0"/>
            </w:tcBorders>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错动：无□ 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27" w:hRule="atLeast"/>
          <w:jc w:val="center"/>
        </w:trPr>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tabs>
                <w:tab w:val="center" w:pos="4201"/>
                <w:tab w:val="right" w:leader="dot" w:pos="9298"/>
              </w:tabs>
              <w:autoSpaceDE w:val="0"/>
              <w:autoSpaceDN w:val="0"/>
              <w:adjustRightInd w:val="0"/>
              <w:snapToGrid w:val="0"/>
              <w:jc w:val="center"/>
              <w:rPr>
                <w:rFonts w:hint="default" w:ascii="Times New Roman" w:hAnsi="Times New Roman" w:cs="Times New Roman"/>
                <w:kern w:val="0"/>
                <w:sz w:val="18"/>
                <w:szCs w:val="18"/>
              </w:rPr>
            </w:pPr>
          </w:p>
        </w:tc>
        <w:tc>
          <w:tcPr>
            <w:tcW w:w="2637" w:type="dxa"/>
            <w:gridSpan w:val="2"/>
            <w:tcBorders>
              <w:top w:val="single" w:color="auto" w:sz="4" w:space="0"/>
              <w:left w:val="single" w:color="auto" w:sz="4" w:space="0"/>
              <w:bottom w:val="single" w:color="auto" w:sz="4" w:space="0"/>
              <w:right w:val="single" w:color="auto" w:sz="4" w:space="0"/>
            </w:tcBorders>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渗水现象：无□ 有□</w:t>
            </w:r>
          </w:p>
        </w:tc>
        <w:tc>
          <w:tcPr>
            <w:tcW w:w="2695" w:type="dxa"/>
            <w:gridSpan w:val="2"/>
            <w:tcBorders>
              <w:top w:val="single" w:color="auto" w:sz="4" w:space="0"/>
              <w:left w:val="single" w:color="auto" w:sz="4" w:space="0"/>
              <w:bottom w:val="single" w:color="auto" w:sz="4" w:space="0"/>
              <w:right w:val="single" w:color="auto" w:sz="4" w:space="0"/>
            </w:tcBorders>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排水沟堵塞：无□ 有□</w:t>
            </w:r>
          </w:p>
        </w:tc>
        <w:tc>
          <w:tcPr>
            <w:tcW w:w="2588" w:type="dxa"/>
            <w:gridSpan w:val="2"/>
            <w:tcBorders>
              <w:top w:val="single" w:color="auto" w:sz="4" w:space="0"/>
              <w:left w:val="single" w:color="auto" w:sz="4" w:space="0"/>
              <w:bottom w:val="single" w:color="auto" w:sz="4" w:space="0"/>
              <w:right w:val="single" w:color="auto" w:sz="4" w:space="0"/>
            </w:tcBorders>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岸坡滑动迹象：无□ 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21" w:hRule="atLeast"/>
          <w:jc w:val="center"/>
        </w:trPr>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tabs>
                <w:tab w:val="center" w:pos="4201"/>
                <w:tab w:val="right" w:leader="dot" w:pos="9298"/>
              </w:tabs>
              <w:autoSpaceDE w:val="0"/>
              <w:autoSpaceDN w:val="0"/>
              <w:adjustRightInd w:val="0"/>
              <w:snapToGrid w:val="0"/>
              <w:jc w:val="center"/>
              <w:rPr>
                <w:rFonts w:hint="default" w:ascii="Times New Roman" w:hAnsi="Times New Roman" w:cs="Times New Roman"/>
                <w:kern w:val="0"/>
                <w:sz w:val="18"/>
                <w:szCs w:val="18"/>
              </w:rPr>
            </w:pPr>
          </w:p>
        </w:tc>
        <w:tc>
          <w:tcPr>
            <w:tcW w:w="2637" w:type="dxa"/>
            <w:gridSpan w:val="2"/>
            <w:tcBorders>
              <w:top w:val="single" w:color="auto" w:sz="4" w:space="0"/>
              <w:left w:val="single" w:color="auto" w:sz="4" w:space="0"/>
              <w:bottom w:val="single" w:color="auto" w:sz="4" w:space="0"/>
              <w:right w:val="single" w:color="auto" w:sz="4" w:space="0"/>
            </w:tcBorders>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白蚁迹象：无□ 有□</w:t>
            </w:r>
          </w:p>
        </w:tc>
        <w:tc>
          <w:tcPr>
            <w:tcW w:w="2695" w:type="dxa"/>
            <w:gridSpan w:val="2"/>
            <w:tcBorders>
              <w:top w:val="single" w:color="auto" w:sz="4" w:space="0"/>
              <w:left w:val="single" w:color="auto" w:sz="4" w:space="0"/>
              <w:bottom w:val="single" w:color="auto" w:sz="4" w:space="0"/>
              <w:right w:val="single" w:color="auto" w:sz="4" w:space="0"/>
            </w:tcBorders>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动物洞穴：无□ 有□</w:t>
            </w:r>
          </w:p>
        </w:tc>
        <w:tc>
          <w:tcPr>
            <w:tcW w:w="2588" w:type="dxa"/>
            <w:gridSpan w:val="2"/>
            <w:tcBorders>
              <w:top w:val="single" w:color="auto" w:sz="4" w:space="0"/>
              <w:left w:val="single" w:color="auto" w:sz="4" w:space="0"/>
              <w:bottom w:val="single" w:color="auto" w:sz="4" w:space="0"/>
              <w:right w:val="single" w:color="auto" w:sz="4" w:space="0"/>
            </w:tcBorders>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其它：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54" w:hRule="atLeast"/>
          <w:jc w:val="center"/>
        </w:trPr>
        <w:tc>
          <w:tcPr>
            <w:tcW w:w="1614"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center" w:pos="4201"/>
                <w:tab w:val="right" w:leader="dot" w:pos="9298"/>
              </w:tabs>
              <w:autoSpaceDE w:val="0"/>
              <w:autoSpaceDN w:val="0"/>
              <w:adjustRightInd w:val="0"/>
              <w:snapToGrid w:val="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溢洪道</w:t>
            </w:r>
          </w:p>
        </w:tc>
        <w:tc>
          <w:tcPr>
            <w:tcW w:w="2637" w:type="dxa"/>
            <w:gridSpan w:val="2"/>
            <w:tcBorders>
              <w:top w:val="single" w:color="auto" w:sz="4" w:space="0"/>
              <w:left w:val="single" w:color="auto" w:sz="4" w:space="0"/>
              <w:bottom w:val="single" w:color="auto" w:sz="4" w:space="0"/>
              <w:right w:val="single" w:color="auto" w:sz="4" w:space="0"/>
            </w:tcBorders>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杂物堆积：无□ 有□</w:t>
            </w:r>
          </w:p>
        </w:tc>
        <w:tc>
          <w:tcPr>
            <w:tcW w:w="2695" w:type="dxa"/>
            <w:gridSpan w:val="2"/>
            <w:tcBorders>
              <w:top w:val="single" w:color="auto" w:sz="4" w:space="0"/>
              <w:left w:val="single" w:color="auto" w:sz="4" w:space="0"/>
              <w:bottom w:val="single" w:color="auto" w:sz="4" w:space="0"/>
              <w:right w:val="single" w:color="auto" w:sz="4" w:space="0"/>
            </w:tcBorders>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障碍物：无□ 有□</w:t>
            </w:r>
          </w:p>
        </w:tc>
        <w:tc>
          <w:tcPr>
            <w:tcW w:w="2588" w:type="dxa"/>
            <w:gridSpan w:val="2"/>
            <w:tcBorders>
              <w:top w:val="single" w:color="auto" w:sz="4" w:space="0"/>
              <w:left w:val="single" w:color="auto" w:sz="4" w:space="0"/>
              <w:bottom w:val="single" w:color="auto" w:sz="4" w:space="0"/>
              <w:right w:val="single" w:color="auto" w:sz="4" w:space="0"/>
            </w:tcBorders>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边墙完整：是□ 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54" w:hRule="atLeast"/>
          <w:jc w:val="center"/>
        </w:trPr>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tabs>
                <w:tab w:val="center" w:pos="4201"/>
                <w:tab w:val="right" w:leader="dot" w:pos="9298"/>
              </w:tabs>
              <w:autoSpaceDE w:val="0"/>
              <w:autoSpaceDN w:val="0"/>
              <w:adjustRightInd w:val="0"/>
              <w:snapToGrid w:val="0"/>
              <w:jc w:val="center"/>
              <w:rPr>
                <w:rFonts w:hint="default" w:ascii="Times New Roman" w:hAnsi="Times New Roman" w:cs="Times New Roman"/>
                <w:kern w:val="0"/>
                <w:sz w:val="18"/>
                <w:szCs w:val="18"/>
              </w:rPr>
            </w:pPr>
          </w:p>
        </w:tc>
        <w:tc>
          <w:tcPr>
            <w:tcW w:w="2637" w:type="dxa"/>
            <w:gridSpan w:val="2"/>
            <w:tcBorders>
              <w:top w:val="single" w:color="auto" w:sz="4" w:space="0"/>
              <w:left w:val="single" w:color="auto" w:sz="4" w:space="0"/>
              <w:bottom w:val="single" w:color="auto" w:sz="4" w:space="0"/>
              <w:right w:val="single" w:color="auto" w:sz="4" w:space="0"/>
            </w:tcBorders>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靠坝边墙稳定：是□ 否□</w:t>
            </w:r>
          </w:p>
        </w:tc>
        <w:tc>
          <w:tcPr>
            <w:tcW w:w="2695" w:type="dxa"/>
            <w:gridSpan w:val="2"/>
            <w:tcBorders>
              <w:top w:val="single" w:color="auto" w:sz="4" w:space="0"/>
              <w:left w:val="single" w:color="auto" w:sz="4" w:space="0"/>
              <w:bottom w:val="single" w:color="auto" w:sz="4" w:space="0"/>
              <w:right w:val="single" w:color="auto" w:sz="4" w:space="0"/>
            </w:tcBorders>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消能设施完整：是□ 否□</w:t>
            </w:r>
          </w:p>
        </w:tc>
        <w:tc>
          <w:tcPr>
            <w:tcW w:w="2588" w:type="dxa"/>
            <w:gridSpan w:val="2"/>
            <w:tcBorders>
              <w:top w:val="single" w:color="auto" w:sz="4" w:space="0"/>
              <w:left w:val="single" w:color="auto" w:sz="4" w:space="0"/>
              <w:bottom w:val="single" w:color="auto" w:sz="4" w:space="0"/>
              <w:right w:val="single" w:color="auto" w:sz="4" w:space="0"/>
            </w:tcBorders>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岸坡危岩崩塌：无□ 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82" w:hRule="atLeast"/>
          <w:jc w:val="center"/>
        </w:trPr>
        <w:tc>
          <w:tcPr>
            <w:tcW w:w="1614"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center" w:pos="4201"/>
                <w:tab w:val="right" w:leader="dot" w:pos="9298"/>
              </w:tabs>
              <w:autoSpaceDE w:val="0"/>
              <w:autoSpaceDN w:val="0"/>
              <w:adjustRightInd w:val="0"/>
              <w:snapToGrid w:val="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输水涵（洞）、虹吸管</w:t>
            </w:r>
          </w:p>
        </w:tc>
        <w:tc>
          <w:tcPr>
            <w:tcW w:w="3623" w:type="dxa"/>
            <w:gridSpan w:val="3"/>
            <w:tcBorders>
              <w:top w:val="single" w:color="auto" w:sz="4" w:space="0"/>
              <w:left w:val="single" w:color="auto" w:sz="4" w:space="0"/>
              <w:bottom w:val="single" w:color="auto" w:sz="4" w:space="0"/>
              <w:right w:val="single" w:color="auto" w:sz="4" w:space="0"/>
            </w:tcBorders>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出口渗漏：无□ 有□</w:t>
            </w:r>
          </w:p>
        </w:tc>
        <w:tc>
          <w:tcPr>
            <w:tcW w:w="4297" w:type="dxa"/>
            <w:gridSpan w:val="3"/>
            <w:tcBorders>
              <w:top w:val="single" w:color="auto" w:sz="4" w:space="0"/>
              <w:left w:val="single" w:color="auto" w:sz="4" w:space="0"/>
              <w:bottom w:val="single" w:color="auto" w:sz="4" w:space="0"/>
              <w:right w:val="single" w:color="auto" w:sz="4" w:space="0"/>
            </w:tcBorders>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涵（洞）身断裂、损坏：无□ 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82" w:hRule="atLeast"/>
          <w:jc w:val="center"/>
        </w:trPr>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tabs>
                <w:tab w:val="center" w:pos="4201"/>
                <w:tab w:val="right" w:leader="dot" w:pos="9298"/>
              </w:tabs>
              <w:autoSpaceDE w:val="0"/>
              <w:autoSpaceDN w:val="0"/>
              <w:adjustRightInd w:val="0"/>
              <w:snapToGrid w:val="0"/>
              <w:jc w:val="center"/>
              <w:rPr>
                <w:rFonts w:hint="default" w:ascii="Times New Roman" w:hAnsi="Times New Roman" w:cs="Times New Roman"/>
                <w:kern w:val="0"/>
                <w:sz w:val="18"/>
                <w:szCs w:val="18"/>
              </w:rPr>
            </w:pPr>
          </w:p>
        </w:tc>
        <w:tc>
          <w:tcPr>
            <w:tcW w:w="3623" w:type="dxa"/>
            <w:gridSpan w:val="3"/>
            <w:tcBorders>
              <w:top w:val="single" w:color="auto" w:sz="4" w:space="0"/>
              <w:left w:val="single" w:color="auto" w:sz="4" w:space="0"/>
              <w:bottom w:val="single" w:color="auto" w:sz="4" w:space="0"/>
              <w:right w:val="single" w:color="auto" w:sz="4" w:space="0"/>
            </w:tcBorders>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进口水面冒泡：无□ 有□</w:t>
            </w:r>
          </w:p>
        </w:tc>
        <w:tc>
          <w:tcPr>
            <w:tcW w:w="4297" w:type="dxa"/>
            <w:gridSpan w:val="3"/>
            <w:tcBorders>
              <w:top w:val="single" w:color="auto" w:sz="4" w:space="0"/>
              <w:left w:val="single" w:color="auto" w:sz="4" w:space="0"/>
              <w:bottom w:val="single" w:color="auto" w:sz="4" w:space="0"/>
              <w:right w:val="single" w:color="auto" w:sz="4" w:space="0"/>
            </w:tcBorders>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其它：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20" w:hRule="atLeast"/>
          <w:jc w:val="center"/>
        </w:trPr>
        <w:tc>
          <w:tcPr>
            <w:tcW w:w="1614"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center" w:pos="4201"/>
                <w:tab w:val="right" w:leader="dot" w:pos="9298"/>
              </w:tabs>
              <w:autoSpaceDE w:val="0"/>
              <w:autoSpaceDN w:val="0"/>
              <w:adjustRightInd w:val="0"/>
              <w:snapToGrid w:val="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金属结构、</w:t>
            </w:r>
          </w:p>
          <w:p>
            <w:pPr>
              <w:widowControl/>
              <w:tabs>
                <w:tab w:val="center" w:pos="4201"/>
                <w:tab w:val="right" w:leader="dot" w:pos="9298"/>
              </w:tabs>
              <w:autoSpaceDE w:val="0"/>
              <w:autoSpaceDN w:val="0"/>
              <w:adjustRightInd w:val="0"/>
              <w:snapToGrid w:val="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启闭设备</w:t>
            </w:r>
          </w:p>
        </w:tc>
        <w:tc>
          <w:tcPr>
            <w:tcW w:w="3623" w:type="dxa"/>
            <w:gridSpan w:val="3"/>
            <w:tcBorders>
              <w:top w:val="single" w:color="auto" w:sz="4" w:space="0"/>
              <w:left w:val="single" w:color="auto" w:sz="4" w:space="0"/>
              <w:bottom w:val="single" w:color="auto" w:sz="4" w:space="0"/>
              <w:right w:val="single" w:color="auto" w:sz="4" w:space="0"/>
            </w:tcBorders>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闸门结构完整：是□ 否□</w:t>
            </w:r>
          </w:p>
        </w:tc>
        <w:tc>
          <w:tcPr>
            <w:tcW w:w="4297" w:type="dxa"/>
            <w:gridSpan w:val="3"/>
            <w:tcBorders>
              <w:top w:val="single" w:color="auto" w:sz="4" w:space="0"/>
              <w:left w:val="single" w:color="auto" w:sz="4" w:space="0"/>
              <w:bottom w:val="single" w:color="auto" w:sz="4" w:space="0"/>
              <w:right w:val="single" w:color="auto" w:sz="4" w:space="0"/>
            </w:tcBorders>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止水完好、无漏水：是□ 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20" w:hRule="atLeast"/>
          <w:jc w:val="center"/>
        </w:trPr>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tabs>
                <w:tab w:val="center" w:pos="4201"/>
                <w:tab w:val="right" w:leader="dot" w:pos="9298"/>
              </w:tabs>
              <w:autoSpaceDE w:val="0"/>
              <w:autoSpaceDN w:val="0"/>
              <w:adjustRightInd w:val="0"/>
              <w:snapToGrid w:val="0"/>
              <w:jc w:val="center"/>
              <w:rPr>
                <w:rFonts w:hint="default" w:ascii="Times New Roman" w:hAnsi="Times New Roman" w:cs="Times New Roman"/>
                <w:kern w:val="0"/>
                <w:sz w:val="18"/>
                <w:szCs w:val="18"/>
              </w:rPr>
            </w:pPr>
          </w:p>
        </w:tc>
        <w:tc>
          <w:tcPr>
            <w:tcW w:w="3623" w:type="dxa"/>
            <w:gridSpan w:val="3"/>
            <w:tcBorders>
              <w:top w:val="single" w:color="auto" w:sz="4" w:space="0"/>
              <w:left w:val="single" w:color="auto" w:sz="4" w:space="0"/>
              <w:bottom w:val="single" w:color="auto" w:sz="4" w:space="0"/>
              <w:right w:val="single" w:color="auto" w:sz="4" w:space="0"/>
            </w:tcBorders>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锈蚀情况：无□一般□ 严重□</w:t>
            </w:r>
          </w:p>
        </w:tc>
        <w:tc>
          <w:tcPr>
            <w:tcW w:w="4297" w:type="dxa"/>
            <w:gridSpan w:val="3"/>
            <w:tcBorders>
              <w:top w:val="single" w:color="auto" w:sz="4" w:space="0"/>
              <w:left w:val="single" w:color="auto" w:sz="4" w:space="0"/>
              <w:bottom w:val="single" w:color="auto" w:sz="4" w:space="0"/>
              <w:right w:val="single" w:color="auto" w:sz="4" w:space="0"/>
            </w:tcBorders>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试运行情况（日常巡检）：正常□ 异常□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20" w:hRule="atLeast"/>
          <w:jc w:val="center"/>
        </w:trPr>
        <w:tc>
          <w:tcPr>
            <w:tcW w:w="1614"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center" w:pos="4201"/>
                <w:tab w:val="right" w:leader="dot" w:pos="9298"/>
              </w:tabs>
              <w:autoSpaceDE w:val="0"/>
              <w:autoSpaceDN w:val="0"/>
              <w:adjustRightInd w:val="0"/>
              <w:snapToGrid w:val="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电气设施</w:t>
            </w:r>
          </w:p>
        </w:tc>
        <w:tc>
          <w:tcPr>
            <w:tcW w:w="3623" w:type="dxa"/>
            <w:gridSpan w:val="3"/>
            <w:tcBorders>
              <w:top w:val="single" w:color="auto" w:sz="4" w:space="0"/>
              <w:left w:val="single" w:color="auto" w:sz="4" w:space="0"/>
              <w:bottom w:val="single" w:color="auto" w:sz="4" w:space="0"/>
              <w:right w:val="single" w:color="auto" w:sz="4" w:space="0"/>
            </w:tcBorders>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线路接通：是□ 否□</w:t>
            </w:r>
          </w:p>
        </w:tc>
        <w:tc>
          <w:tcPr>
            <w:tcW w:w="4297" w:type="dxa"/>
            <w:gridSpan w:val="3"/>
            <w:tcBorders>
              <w:top w:val="single" w:color="auto" w:sz="4" w:space="0"/>
              <w:left w:val="single" w:color="auto" w:sz="4" w:space="0"/>
              <w:bottom w:val="single" w:color="auto" w:sz="4" w:space="0"/>
              <w:right w:val="single" w:color="auto" w:sz="4" w:space="0"/>
            </w:tcBorders>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备用电源完好：是□ 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20" w:hRule="atLeast"/>
          <w:jc w:val="center"/>
        </w:trPr>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tabs>
                <w:tab w:val="center" w:pos="4201"/>
                <w:tab w:val="right" w:leader="dot" w:pos="9298"/>
              </w:tabs>
              <w:autoSpaceDE w:val="0"/>
              <w:autoSpaceDN w:val="0"/>
              <w:adjustRightInd w:val="0"/>
              <w:snapToGrid w:val="0"/>
              <w:jc w:val="center"/>
              <w:rPr>
                <w:rFonts w:hint="default" w:ascii="Times New Roman" w:hAnsi="Times New Roman" w:cs="Times New Roman"/>
                <w:kern w:val="0"/>
                <w:sz w:val="18"/>
                <w:szCs w:val="18"/>
              </w:rPr>
            </w:pPr>
          </w:p>
        </w:tc>
        <w:tc>
          <w:tcPr>
            <w:tcW w:w="3623" w:type="dxa"/>
            <w:gridSpan w:val="3"/>
            <w:tcBorders>
              <w:top w:val="single" w:color="auto" w:sz="4" w:space="0"/>
              <w:left w:val="single" w:color="auto" w:sz="4" w:space="0"/>
              <w:bottom w:val="single" w:color="auto" w:sz="4" w:space="0"/>
              <w:right w:val="single" w:color="auto" w:sz="4" w:space="0"/>
            </w:tcBorders>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试运行情况（日常巡检）：正常□ 异常□</w:t>
            </w:r>
          </w:p>
        </w:tc>
        <w:tc>
          <w:tcPr>
            <w:tcW w:w="4297" w:type="dxa"/>
            <w:gridSpan w:val="3"/>
            <w:tcBorders>
              <w:top w:val="single" w:color="auto" w:sz="4" w:space="0"/>
              <w:left w:val="single" w:color="auto" w:sz="4" w:space="0"/>
              <w:bottom w:val="single" w:color="auto" w:sz="4" w:space="0"/>
              <w:right w:val="single" w:color="auto" w:sz="4" w:space="0"/>
            </w:tcBorders>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其他：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20" w:hRule="atLeast"/>
          <w:jc w:val="center"/>
        </w:trPr>
        <w:tc>
          <w:tcPr>
            <w:tcW w:w="1614" w:type="dxa"/>
            <w:tcBorders>
              <w:top w:val="single" w:color="auto" w:sz="4" w:space="0"/>
              <w:left w:val="single" w:color="auto" w:sz="4" w:space="0"/>
              <w:bottom w:val="single" w:color="auto" w:sz="4" w:space="0"/>
              <w:right w:val="single" w:color="auto" w:sz="4" w:space="0"/>
            </w:tcBorders>
            <w:vAlign w:val="center"/>
          </w:tcPr>
          <w:p>
            <w:pPr>
              <w:widowControl/>
              <w:tabs>
                <w:tab w:val="center" w:pos="4201"/>
                <w:tab w:val="right" w:leader="dot" w:pos="9298"/>
              </w:tabs>
              <w:autoSpaceDE w:val="0"/>
              <w:autoSpaceDN w:val="0"/>
              <w:adjustRightInd w:val="0"/>
              <w:snapToGrid w:val="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近坝水面</w:t>
            </w:r>
          </w:p>
        </w:tc>
        <w:tc>
          <w:tcPr>
            <w:tcW w:w="3623" w:type="dxa"/>
            <w:gridSpan w:val="3"/>
            <w:tcBorders>
              <w:top w:val="single" w:color="auto" w:sz="4" w:space="0"/>
              <w:left w:val="single" w:color="auto" w:sz="4" w:space="0"/>
              <w:bottom w:val="single" w:color="auto" w:sz="4" w:space="0"/>
              <w:right w:val="single" w:color="auto" w:sz="4" w:space="0"/>
            </w:tcBorders>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冒泡、漩涡等：无□ 有□</w:t>
            </w:r>
          </w:p>
        </w:tc>
        <w:tc>
          <w:tcPr>
            <w:tcW w:w="4297" w:type="dxa"/>
            <w:gridSpan w:val="3"/>
            <w:tcBorders>
              <w:top w:val="single" w:color="auto" w:sz="4" w:space="0"/>
              <w:left w:val="single" w:color="auto" w:sz="4" w:space="0"/>
              <w:bottom w:val="single" w:color="auto" w:sz="4" w:space="0"/>
              <w:right w:val="single" w:color="auto" w:sz="4" w:space="0"/>
            </w:tcBorders>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其它：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20" w:hRule="atLeast"/>
          <w:jc w:val="center"/>
        </w:trPr>
        <w:tc>
          <w:tcPr>
            <w:tcW w:w="1614" w:type="dxa"/>
            <w:tcBorders>
              <w:top w:val="single" w:color="auto" w:sz="4" w:space="0"/>
              <w:left w:val="single" w:color="auto" w:sz="4" w:space="0"/>
              <w:bottom w:val="single" w:color="auto" w:sz="4" w:space="0"/>
              <w:right w:val="single" w:color="auto" w:sz="4" w:space="0"/>
            </w:tcBorders>
            <w:vAlign w:val="center"/>
          </w:tcPr>
          <w:p>
            <w:pPr>
              <w:widowControl/>
              <w:tabs>
                <w:tab w:val="center" w:pos="4201"/>
                <w:tab w:val="right" w:leader="dot" w:pos="9298"/>
              </w:tabs>
              <w:autoSpaceDE w:val="0"/>
              <w:autoSpaceDN w:val="0"/>
              <w:adjustRightInd w:val="0"/>
              <w:snapToGrid w:val="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监测设施</w:t>
            </w:r>
          </w:p>
        </w:tc>
        <w:tc>
          <w:tcPr>
            <w:tcW w:w="3623" w:type="dxa"/>
            <w:gridSpan w:val="3"/>
            <w:tcBorders>
              <w:top w:val="single" w:color="auto" w:sz="4" w:space="0"/>
              <w:left w:val="single" w:color="auto" w:sz="4" w:space="0"/>
              <w:bottom w:val="single" w:color="auto" w:sz="4" w:space="0"/>
              <w:right w:val="single" w:color="auto" w:sz="4" w:space="0"/>
            </w:tcBorders>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监测设施完好：是□ 否□</w:t>
            </w:r>
          </w:p>
        </w:tc>
        <w:tc>
          <w:tcPr>
            <w:tcW w:w="4297" w:type="dxa"/>
            <w:gridSpan w:val="3"/>
            <w:tcBorders>
              <w:top w:val="single" w:color="auto" w:sz="4" w:space="0"/>
              <w:left w:val="single" w:color="auto" w:sz="4" w:space="0"/>
              <w:bottom w:val="single" w:color="auto" w:sz="4" w:space="0"/>
              <w:right w:val="single" w:color="auto" w:sz="4" w:space="0"/>
            </w:tcBorders>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正常观测：是□ 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20" w:hRule="atLeast"/>
          <w:jc w:val="center"/>
        </w:trPr>
        <w:tc>
          <w:tcPr>
            <w:tcW w:w="1614"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center" w:pos="4201"/>
                <w:tab w:val="right" w:leader="dot" w:pos="9298"/>
              </w:tabs>
              <w:autoSpaceDE w:val="0"/>
              <w:autoSpaceDN w:val="0"/>
              <w:adjustRightInd w:val="0"/>
              <w:snapToGrid w:val="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管理设施</w:t>
            </w:r>
          </w:p>
        </w:tc>
        <w:tc>
          <w:tcPr>
            <w:tcW w:w="3623" w:type="dxa"/>
            <w:gridSpan w:val="3"/>
            <w:tcBorders>
              <w:top w:val="single" w:color="auto" w:sz="4" w:space="0"/>
              <w:left w:val="single" w:color="auto" w:sz="4" w:space="0"/>
              <w:bottom w:val="single" w:color="auto" w:sz="4" w:space="0"/>
              <w:right w:val="single" w:color="auto" w:sz="4" w:space="0"/>
            </w:tcBorders>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管理房完好：是□ 否□</w:t>
            </w:r>
          </w:p>
        </w:tc>
        <w:tc>
          <w:tcPr>
            <w:tcW w:w="4297" w:type="dxa"/>
            <w:gridSpan w:val="3"/>
            <w:tcBorders>
              <w:top w:val="single" w:color="auto" w:sz="4" w:space="0"/>
              <w:left w:val="single" w:color="auto" w:sz="4" w:space="0"/>
              <w:bottom w:val="single" w:color="auto" w:sz="4" w:space="0"/>
              <w:right w:val="single" w:color="auto" w:sz="4" w:space="0"/>
            </w:tcBorders>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标识标牌清晰、完整：是□ 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20" w:hRule="atLeast"/>
          <w:jc w:val="center"/>
        </w:trPr>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p>
        </w:tc>
        <w:tc>
          <w:tcPr>
            <w:tcW w:w="3623" w:type="dxa"/>
            <w:gridSpan w:val="3"/>
            <w:tcBorders>
              <w:top w:val="single" w:color="auto" w:sz="4" w:space="0"/>
              <w:left w:val="single" w:color="auto" w:sz="4" w:space="0"/>
              <w:bottom w:val="single" w:color="auto" w:sz="4" w:space="0"/>
              <w:right w:val="single" w:color="auto" w:sz="4" w:space="0"/>
            </w:tcBorders>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坝区通信状况良好：是□ 否□</w:t>
            </w:r>
          </w:p>
        </w:tc>
        <w:tc>
          <w:tcPr>
            <w:tcW w:w="4297" w:type="dxa"/>
            <w:gridSpan w:val="3"/>
            <w:tcBorders>
              <w:top w:val="single" w:color="auto" w:sz="4" w:space="0"/>
              <w:left w:val="single" w:color="auto" w:sz="4" w:space="0"/>
              <w:bottom w:val="single" w:color="auto" w:sz="4" w:space="0"/>
              <w:right w:val="single" w:color="auto" w:sz="4" w:space="0"/>
            </w:tcBorders>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防汛道路通畅：是□ 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20" w:hRule="atLeast"/>
          <w:jc w:val="center"/>
        </w:trPr>
        <w:tc>
          <w:tcPr>
            <w:tcW w:w="1614" w:type="dxa"/>
            <w:tcBorders>
              <w:top w:val="single" w:color="auto" w:sz="4" w:space="0"/>
              <w:left w:val="single" w:color="auto" w:sz="4" w:space="0"/>
              <w:bottom w:val="single" w:color="auto" w:sz="4" w:space="0"/>
              <w:right w:val="single" w:color="auto" w:sz="4" w:space="0"/>
            </w:tcBorders>
            <w:vAlign w:val="center"/>
          </w:tcPr>
          <w:p>
            <w:pPr>
              <w:widowControl/>
              <w:tabs>
                <w:tab w:val="center" w:pos="4201"/>
                <w:tab w:val="right" w:leader="dot" w:pos="9298"/>
              </w:tabs>
              <w:autoSpaceDE w:val="0"/>
              <w:autoSpaceDN w:val="0"/>
              <w:adjustRightInd w:val="0"/>
              <w:snapToGrid w:val="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库区</w:t>
            </w:r>
          </w:p>
        </w:tc>
        <w:tc>
          <w:tcPr>
            <w:tcW w:w="3623" w:type="dxa"/>
            <w:gridSpan w:val="3"/>
            <w:tcBorders>
              <w:top w:val="single" w:color="auto" w:sz="4" w:space="0"/>
              <w:left w:val="single" w:color="auto" w:sz="4" w:space="0"/>
              <w:bottom w:val="single" w:color="auto" w:sz="4" w:space="0"/>
              <w:right w:val="single" w:color="auto" w:sz="4" w:space="0"/>
            </w:tcBorders>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侵占水域：无□ 有□</w:t>
            </w:r>
          </w:p>
        </w:tc>
        <w:tc>
          <w:tcPr>
            <w:tcW w:w="4297" w:type="dxa"/>
            <w:gridSpan w:val="3"/>
            <w:tcBorders>
              <w:top w:val="single" w:color="auto" w:sz="4" w:space="0"/>
              <w:left w:val="single" w:color="auto" w:sz="4" w:space="0"/>
              <w:bottom w:val="single" w:color="auto" w:sz="4" w:space="0"/>
              <w:right w:val="single" w:color="auto" w:sz="4" w:space="0"/>
            </w:tcBorders>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倾倒垃圾：无□ 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32" w:hRule="atLeast"/>
          <w:jc w:val="center"/>
        </w:trPr>
        <w:tc>
          <w:tcPr>
            <w:tcW w:w="1614" w:type="dxa"/>
            <w:tcBorders>
              <w:top w:val="single" w:color="auto" w:sz="4" w:space="0"/>
              <w:left w:val="single" w:color="auto" w:sz="4" w:space="0"/>
              <w:bottom w:val="single" w:color="auto" w:sz="4" w:space="0"/>
              <w:right w:val="single" w:color="auto" w:sz="4" w:space="0"/>
            </w:tcBorders>
            <w:vAlign w:val="center"/>
          </w:tcPr>
          <w:p>
            <w:pPr>
              <w:widowControl/>
              <w:tabs>
                <w:tab w:val="center" w:pos="4201"/>
                <w:tab w:val="right" w:leader="dot" w:pos="9298"/>
              </w:tabs>
              <w:autoSpaceDE w:val="0"/>
              <w:autoSpaceDN w:val="0"/>
              <w:adjustRightInd w:val="0"/>
              <w:snapToGrid w:val="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异常情况记录</w:t>
            </w:r>
          </w:p>
        </w:tc>
        <w:tc>
          <w:tcPr>
            <w:tcW w:w="7920" w:type="dxa"/>
            <w:gridSpan w:val="6"/>
            <w:tcBorders>
              <w:top w:val="single" w:color="auto" w:sz="4" w:space="0"/>
              <w:left w:val="single" w:color="auto" w:sz="4" w:space="0"/>
              <w:bottom w:val="single" w:color="auto" w:sz="4" w:space="0"/>
              <w:right w:val="single" w:color="auto" w:sz="4" w:space="0"/>
            </w:tcBorders>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34" w:hRule="atLeast"/>
          <w:jc w:val="center"/>
        </w:trPr>
        <w:tc>
          <w:tcPr>
            <w:tcW w:w="1614" w:type="dxa"/>
            <w:tcBorders>
              <w:top w:val="single" w:color="auto" w:sz="4" w:space="0"/>
              <w:left w:val="single" w:color="auto" w:sz="4" w:space="0"/>
              <w:bottom w:val="single" w:color="auto" w:sz="4" w:space="0"/>
              <w:right w:val="single" w:color="auto" w:sz="4" w:space="0"/>
            </w:tcBorders>
            <w:vAlign w:val="center"/>
          </w:tcPr>
          <w:p>
            <w:pPr>
              <w:widowControl/>
              <w:tabs>
                <w:tab w:val="center" w:pos="4201"/>
                <w:tab w:val="right" w:leader="dot" w:pos="9298"/>
              </w:tabs>
              <w:autoSpaceDE w:val="0"/>
              <w:autoSpaceDN w:val="0"/>
              <w:adjustRightInd w:val="0"/>
              <w:snapToGrid w:val="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异常情况处置</w:t>
            </w:r>
          </w:p>
        </w:tc>
        <w:tc>
          <w:tcPr>
            <w:tcW w:w="7920" w:type="dxa"/>
            <w:gridSpan w:val="6"/>
            <w:tcBorders>
              <w:top w:val="single" w:color="auto" w:sz="4" w:space="0"/>
              <w:left w:val="single" w:color="auto" w:sz="4" w:space="0"/>
              <w:bottom w:val="single" w:color="auto" w:sz="4" w:space="0"/>
              <w:right w:val="single" w:color="auto" w:sz="4" w:space="0"/>
            </w:tcBorders>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处理措施：</w:t>
            </w:r>
          </w:p>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报告对象：                报告时间：           报告方式：电话□ 书面□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84" w:hRule="atLeast"/>
          <w:jc w:val="center"/>
        </w:trPr>
        <w:tc>
          <w:tcPr>
            <w:tcW w:w="1614" w:type="dxa"/>
            <w:tcBorders>
              <w:top w:val="single" w:color="auto" w:sz="4" w:space="0"/>
              <w:left w:val="single" w:color="auto" w:sz="4" w:space="0"/>
              <w:bottom w:val="single" w:color="auto" w:sz="4" w:space="0"/>
              <w:right w:val="single" w:color="auto" w:sz="4" w:space="0"/>
            </w:tcBorders>
            <w:vAlign w:val="center"/>
          </w:tcPr>
          <w:p>
            <w:pPr>
              <w:widowControl/>
              <w:tabs>
                <w:tab w:val="center" w:pos="4201"/>
                <w:tab w:val="right" w:leader="dot" w:pos="9298"/>
              </w:tabs>
              <w:autoSpaceDE w:val="0"/>
              <w:autoSpaceDN w:val="0"/>
              <w:adjustRightInd w:val="0"/>
              <w:snapToGrid w:val="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巡查人员</w:t>
            </w:r>
          </w:p>
        </w:tc>
        <w:tc>
          <w:tcPr>
            <w:tcW w:w="7920" w:type="dxa"/>
            <w:gridSpan w:val="6"/>
            <w:tcBorders>
              <w:top w:val="single" w:color="auto" w:sz="4" w:space="0"/>
              <w:left w:val="single" w:color="auto" w:sz="4" w:space="0"/>
              <w:bottom w:val="single" w:color="auto" w:sz="4" w:space="0"/>
              <w:right w:val="single" w:color="auto" w:sz="4" w:space="0"/>
            </w:tcBorders>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（签名）</w:t>
            </w:r>
          </w:p>
        </w:tc>
      </w:tr>
    </w:tbl>
    <w:p>
      <w:pPr>
        <w:pStyle w:val="34"/>
        <w:rPr>
          <w:rFonts w:hint="default" w:ascii="Times New Roman" w:hAnsi="Times New Roman" w:cs="Times New Roman"/>
        </w:rPr>
      </w:pPr>
    </w:p>
    <w:p>
      <w:pPr>
        <w:pStyle w:val="34"/>
        <w:rPr>
          <w:rFonts w:hint="default" w:ascii="Times New Roman" w:hAnsi="Times New Roman" w:cs="Times New Roman"/>
        </w:rPr>
      </w:pPr>
    </w:p>
    <w:p>
      <w:pPr>
        <w:pStyle w:val="34"/>
        <w:rPr>
          <w:rFonts w:hint="default" w:ascii="Times New Roman" w:hAnsi="Times New Roman" w:cs="Times New Roman"/>
        </w:rPr>
      </w:pPr>
    </w:p>
    <w:p>
      <w:pPr>
        <w:pStyle w:val="34"/>
        <w:rPr>
          <w:rFonts w:hint="default" w:ascii="Times New Roman" w:hAnsi="Times New Roman" w:cs="Times New Roman"/>
        </w:rPr>
      </w:pPr>
    </w:p>
    <w:p>
      <w:pPr>
        <w:pStyle w:val="34"/>
        <w:rPr>
          <w:rFonts w:hint="default" w:ascii="Times New Roman" w:hAnsi="Times New Roman" w:cs="Times New Roman"/>
        </w:rPr>
      </w:pPr>
    </w:p>
    <w:p>
      <w:pPr>
        <w:pStyle w:val="34"/>
        <w:rPr>
          <w:rFonts w:hint="default" w:ascii="Times New Roman" w:hAnsi="Times New Roman" w:cs="Times New Roman"/>
        </w:rPr>
      </w:pPr>
    </w:p>
    <w:p>
      <w:pPr>
        <w:pStyle w:val="203"/>
        <w:spacing w:before="78" w:after="156"/>
        <w:rPr>
          <w:rFonts w:hint="default" w:ascii="Times New Roman" w:hAnsi="Times New Roman" w:cs="Times New Roman"/>
        </w:rPr>
      </w:pPr>
      <w:bookmarkStart w:id="288" w:name="_Toc163465940"/>
      <w:r>
        <w:rPr>
          <w:rFonts w:hint="default" w:ascii="Times New Roman" w:hAnsi="Times New Roman" w:cs="Times New Roman"/>
        </w:rPr>
        <w:t>附录E</w:t>
      </w:r>
      <w:r>
        <w:rPr>
          <w:rFonts w:hint="default" w:ascii="Times New Roman" w:hAnsi="Times New Roman" w:cs="Times New Roman"/>
        </w:rPr>
        <w:br w:type="textWrapping"/>
      </w:r>
      <w:r>
        <w:rPr>
          <w:rFonts w:hint="default" w:ascii="Times New Roman" w:hAnsi="Times New Roman" w:cs="Times New Roman"/>
        </w:rPr>
        <w:t>（资料性附录）</w:t>
      </w:r>
      <w:r>
        <w:rPr>
          <w:rFonts w:hint="default" w:ascii="Times New Roman" w:hAnsi="Times New Roman" w:cs="Times New Roman"/>
        </w:rPr>
        <w:br w:type="textWrapping"/>
      </w:r>
      <w:r>
        <w:rPr>
          <w:rFonts w:hint="default" w:ascii="Times New Roman" w:hAnsi="Times New Roman" w:cs="Times New Roman"/>
        </w:rPr>
        <w:t>汛前、年度检查记录</w:t>
      </w:r>
      <w:bookmarkEnd w:id="288"/>
    </w:p>
    <w:p>
      <w:pPr>
        <w:widowControl/>
        <w:tabs>
          <w:tab w:val="center" w:pos="4201"/>
          <w:tab w:val="right" w:leader="dot" w:pos="9298"/>
        </w:tabs>
        <w:autoSpaceDE w:val="0"/>
        <w:autoSpaceDN w:val="0"/>
        <w:ind w:firstLine="420" w:firstLineChars="200"/>
        <w:rPr>
          <w:rFonts w:hint="default" w:ascii="Times New Roman" w:hAnsi="Times New Roman" w:cs="Times New Roman"/>
          <w:kern w:val="0"/>
        </w:rPr>
      </w:pPr>
      <w:bookmarkStart w:id="289" w:name="_Toc493773289"/>
      <w:bookmarkStart w:id="290" w:name="_Toc491514491"/>
      <w:bookmarkStart w:id="291" w:name="_Toc490318882"/>
      <w:bookmarkStart w:id="292" w:name="_Toc443569059"/>
      <w:bookmarkStart w:id="293" w:name="_Toc443644377"/>
      <w:bookmarkStart w:id="294" w:name="_Toc493772628"/>
      <w:bookmarkStart w:id="295" w:name="_Toc443555753"/>
      <w:bookmarkStart w:id="296" w:name="_Toc443593443"/>
      <w:bookmarkStart w:id="297" w:name="_Toc442106044"/>
      <w:bookmarkStart w:id="298" w:name="_Toc443324616"/>
      <w:bookmarkStart w:id="299" w:name="_Toc442267768"/>
      <w:bookmarkStart w:id="300" w:name="_Toc442118850"/>
      <w:bookmarkStart w:id="301" w:name="_Toc442267927"/>
      <w:bookmarkStart w:id="302" w:name="_Toc493773140"/>
      <w:bookmarkStart w:id="303" w:name="_Toc148882820"/>
      <w:bookmarkStart w:id="304" w:name="_Toc490318951"/>
      <w:r>
        <w:rPr>
          <w:rFonts w:hint="default" w:ascii="Times New Roman" w:hAnsi="Times New Roman" w:cs="Times New Roman"/>
          <w:kern w:val="0"/>
        </w:rPr>
        <w:t>表E.1、E.2、E.3分别给出了汛前检查工程运行管理检查记录表、年度检查工程运行管理检查记录表、汛前及年度检查工程外观检查记录表。</w:t>
      </w:r>
    </w:p>
    <w:p>
      <w:pPr>
        <w:widowControl/>
        <w:spacing w:beforeLines="50" w:afterLines="50"/>
        <w:jc w:val="center"/>
        <w:outlineLvl w:val="2"/>
        <w:rPr>
          <w:rFonts w:hint="default" w:ascii="Times New Roman" w:hAnsi="Times New Roman" w:eastAsia="黑体" w:cs="Times New Roman"/>
          <w:kern w:val="0"/>
        </w:rPr>
      </w:pPr>
      <w:bookmarkStart w:id="305" w:name="_Toc163461497"/>
      <w:bookmarkStart w:id="306" w:name="_Toc149559774"/>
      <w:bookmarkStart w:id="307" w:name="_Toc152685366"/>
      <w:bookmarkStart w:id="308" w:name="_Toc533756501"/>
      <w:bookmarkStart w:id="309" w:name="_Toc163465941"/>
      <w:bookmarkStart w:id="310" w:name="_Toc157087728"/>
      <w:bookmarkStart w:id="311" w:name="_Toc157087568"/>
      <w:bookmarkStart w:id="312" w:name="_Toc159919876"/>
      <w:bookmarkStart w:id="313" w:name="_Toc159919354"/>
      <w:bookmarkStart w:id="314" w:name="_Toc152683787"/>
      <w:bookmarkStart w:id="315" w:name="_Toc25323"/>
      <w:bookmarkStart w:id="316" w:name="_Toc161410797"/>
      <w:bookmarkStart w:id="317" w:name="_Toc533756544"/>
      <w:r>
        <w:rPr>
          <w:rFonts w:hint="default" w:ascii="Times New Roman" w:hAnsi="Times New Roman" w:eastAsia="黑体" w:cs="Times New Roman"/>
          <w:kern w:val="0"/>
        </w:rPr>
        <w:t>表E.1 汛前检查工程运行管理检查记录表</w:t>
      </w:r>
      <w:bookmarkEnd w:id="305"/>
      <w:bookmarkEnd w:id="306"/>
      <w:bookmarkEnd w:id="307"/>
      <w:bookmarkEnd w:id="308"/>
      <w:bookmarkEnd w:id="309"/>
      <w:bookmarkEnd w:id="310"/>
      <w:bookmarkEnd w:id="311"/>
      <w:bookmarkEnd w:id="312"/>
      <w:bookmarkEnd w:id="313"/>
      <w:bookmarkEnd w:id="314"/>
      <w:bookmarkEnd w:id="315"/>
      <w:bookmarkEnd w:id="316"/>
      <w:bookmarkEnd w:id="317"/>
    </w:p>
    <w:p>
      <w:pPr>
        <w:widowControl/>
        <w:tabs>
          <w:tab w:val="center" w:pos="4201"/>
          <w:tab w:val="right" w:leader="dot" w:pos="9298"/>
        </w:tabs>
        <w:autoSpaceDE w:val="0"/>
        <w:autoSpaceDN w:val="0"/>
        <w:ind w:firstLine="360" w:firstLineChars="200"/>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      镇（乡、街道）      村     水库      年</w:t>
      </w:r>
    </w:p>
    <w:tbl>
      <w:tblPr>
        <w:tblStyle w:val="45"/>
        <w:tblW w:w="93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6"/>
        <w:gridCol w:w="1408"/>
        <w:gridCol w:w="323"/>
        <w:gridCol w:w="1306"/>
        <w:gridCol w:w="388"/>
        <w:gridCol w:w="1332"/>
        <w:gridCol w:w="1695"/>
        <w:gridCol w:w="1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436" w:type="dxa"/>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检查时间</w:t>
            </w:r>
          </w:p>
        </w:tc>
        <w:tc>
          <w:tcPr>
            <w:tcW w:w="1731" w:type="dxa"/>
            <w:gridSpan w:val="2"/>
            <w:vAlign w:val="center"/>
          </w:tcPr>
          <w:p>
            <w:pPr>
              <w:adjustRightInd w:val="0"/>
              <w:snapToGrid w:val="0"/>
              <w:jc w:val="right"/>
              <w:rPr>
                <w:rFonts w:hint="default" w:ascii="Times New Roman" w:hAnsi="Times New Roman" w:cs="Times New Roman"/>
                <w:sz w:val="18"/>
                <w:szCs w:val="18"/>
              </w:rPr>
            </w:pPr>
            <w:r>
              <w:rPr>
                <w:rFonts w:hint="default" w:ascii="Times New Roman" w:hAnsi="Times New Roman" w:cs="Times New Roman"/>
                <w:sz w:val="18"/>
                <w:szCs w:val="18"/>
              </w:rPr>
              <w:t>月   日</w:t>
            </w:r>
          </w:p>
        </w:tc>
        <w:tc>
          <w:tcPr>
            <w:tcW w:w="1694" w:type="dxa"/>
            <w:gridSpan w:val="2"/>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水位/溢流水深</w:t>
            </w:r>
          </w:p>
        </w:tc>
        <w:tc>
          <w:tcPr>
            <w:tcW w:w="1332" w:type="dxa"/>
            <w:vAlign w:val="center"/>
          </w:tcPr>
          <w:p>
            <w:pPr>
              <w:adjustRightInd w:val="0"/>
              <w:snapToGrid w:val="0"/>
              <w:jc w:val="right"/>
              <w:rPr>
                <w:rFonts w:hint="default" w:ascii="Times New Roman" w:hAnsi="Times New Roman" w:cs="Times New Roman"/>
                <w:sz w:val="18"/>
                <w:szCs w:val="18"/>
              </w:rPr>
            </w:pPr>
            <w:r>
              <w:rPr>
                <w:rFonts w:hint="default" w:ascii="Times New Roman" w:hAnsi="Times New Roman" w:cs="Times New Roman"/>
                <w:sz w:val="18"/>
                <w:szCs w:val="18"/>
              </w:rPr>
              <w:t>m/   m</w:t>
            </w:r>
          </w:p>
        </w:tc>
        <w:tc>
          <w:tcPr>
            <w:tcW w:w="1695" w:type="dxa"/>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天气</w:t>
            </w:r>
          </w:p>
        </w:tc>
        <w:tc>
          <w:tcPr>
            <w:tcW w:w="1493" w:type="dxa"/>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晴□阴□雨□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9381" w:type="dxa"/>
            <w:gridSpan w:val="8"/>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检查内容与情况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1" w:hRule="atLeast"/>
          <w:jc w:val="center"/>
        </w:trPr>
        <w:tc>
          <w:tcPr>
            <w:tcW w:w="1436" w:type="dxa"/>
            <w:vMerge w:val="restart"/>
            <w:vAlign w:val="center"/>
          </w:tcPr>
          <w:p>
            <w:pPr>
              <w:adjustRightInd w:val="0"/>
              <w:snapToGrid w:val="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闸门试运行</w:t>
            </w:r>
          </w:p>
        </w:tc>
        <w:tc>
          <w:tcPr>
            <w:tcW w:w="3425" w:type="dxa"/>
            <w:gridSpan w:val="4"/>
            <w:vAlign w:val="center"/>
          </w:tcPr>
          <w:p>
            <w:pPr>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闸门名称：</w:t>
            </w:r>
          </w:p>
        </w:tc>
        <w:tc>
          <w:tcPr>
            <w:tcW w:w="4520" w:type="dxa"/>
            <w:gridSpan w:val="3"/>
            <w:vAlign w:val="center"/>
          </w:tcPr>
          <w:p>
            <w:pPr>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开启高度（cm）：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2" w:hRule="atLeast"/>
          <w:jc w:val="center"/>
        </w:trPr>
        <w:tc>
          <w:tcPr>
            <w:tcW w:w="1436" w:type="dxa"/>
            <w:vMerge w:val="continue"/>
            <w:vAlign w:val="center"/>
          </w:tcPr>
          <w:p>
            <w:pPr>
              <w:widowControl/>
              <w:adjustRightInd w:val="0"/>
              <w:snapToGrid w:val="0"/>
              <w:jc w:val="left"/>
              <w:rPr>
                <w:rFonts w:hint="default" w:ascii="Times New Roman" w:hAnsi="Times New Roman" w:cs="Times New Roman"/>
                <w:kern w:val="0"/>
                <w:sz w:val="18"/>
                <w:szCs w:val="18"/>
              </w:rPr>
            </w:pPr>
          </w:p>
        </w:tc>
        <w:tc>
          <w:tcPr>
            <w:tcW w:w="3425" w:type="dxa"/>
            <w:gridSpan w:val="4"/>
            <w:vAlign w:val="center"/>
          </w:tcPr>
          <w:p>
            <w:pPr>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启闭时间：</w:t>
            </w:r>
          </w:p>
        </w:tc>
        <w:tc>
          <w:tcPr>
            <w:tcW w:w="4520" w:type="dxa"/>
            <w:gridSpan w:val="3"/>
            <w:vAlign w:val="center"/>
          </w:tcPr>
          <w:p>
            <w:pPr>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操作人员：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7" w:hRule="atLeast"/>
          <w:jc w:val="center"/>
        </w:trPr>
        <w:tc>
          <w:tcPr>
            <w:tcW w:w="1436" w:type="dxa"/>
            <w:vMerge w:val="continue"/>
            <w:vAlign w:val="center"/>
          </w:tcPr>
          <w:p>
            <w:pPr>
              <w:widowControl/>
              <w:adjustRightInd w:val="0"/>
              <w:snapToGrid w:val="0"/>
              <w:jc w:val="left"/>
              <w:rPr>
                <w:rFonts w:hint="default" w:ascii="Times New Roman" w:hAnsi="Times New Roman" w:cs="Times New Roman"/>
                <w:kern w:val="0"/>
                <w:sz w:val="18"/>
                <w:szCs w:val="18"/>
              </w:rPr>
            </w:pPr>
          </w:p>
        </w:tc>
        <w:tc>
          <w:tcPr>
            <w:tcW w:w="7945" w:type="dxa"/>
            <w:gridSpan w:val="7"/>
            <w:vAlign w:val="center"/>
          </w:tcPr>
          <w:p>
            <w:pPr>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备用电源负荷运行情况：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1" w:hRule="atLeast"/>
          <w:jc w:val="center"/>
        </w:trPr>
        <w:tc>
          <w:tcPr>
            <w:tcW w:w="1436" w:type="dxa"/>
            <w:vMerge w:val="restart"/>
            <w:vAlign w:val="center"/>
          </w:tcPr>
          <w:p>
            <w:pPr>
              <w:adjustRightInd w:val="0"/>
              <w:snapToGrid w:val="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监测资料整编</w:t>
            </w:r>
          </w:p>
        </w:tc>
        <w:tc>
          <w:tcPr>
            <w:tcW w:w="3425" w:type="dxa"/>
            <w:gridSpan w:val="4"/>
            <w:vAlign w:val="center"/>
          </w:tcPr>
          <w:p>
            <w:pPr>
              <w:widowControl/>
              <w:adjustRightInd w:val="0"/>
              <w:snapToGrid w:val="0"/>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保护设施完好：是</w:t>
            </w:r>
            <w:r>
              <w:rPr>
                <w:rFonts w:hint="default" w:ascii="Times New Roman" w:hAnsi="Times New Roman" w:cs="Times New Roman"/>
                <w:sz w:val="18"/>
                <w:szCs w:val="18"/>
              </w:rPr>
              <w:t>□ 否□</w:t>
            </w:r>
          </w:p>
        </w:tc>
        <w:tc>
          <w:tcPr>
            <w:tcW w:w="4520" w:type="dxa"/>
            <w:gridSpan w:val="3"/>
            <w:vAlign w:val="center"/>
          </w:tcPr>
          <w:p>
            <w:pPr>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正常观测：能</w:t>
            </w:r>
            <w:r>
              <w:rPr>
                <w:rFonts w:hint="default" w:ascii="Times New Roman" w:hAnsi="Times New Roman" w:cs="Times New Roman"/>
                <w:sz w:val="18"/>
                <w:szCs w:val="18"/>
              </w:rPr>
              <w:t>□</w:t>
            </w:r>
            <w:r>
              <w:rPr>
                <w:rFonts w:hint="default" w:ascii="Times New Roman" w:hAnsi="Times New Roman" w:cs="Times New Roman"/>
                <w:kern w:val="0"/>
                <w:sz w:val="18"/>
                <w:szCs w:val="18"/>
              </w:rPr>
              <w:t xml:space="preserve"> 不能</w:t>
            </w: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jc w:val="center"/>
        </w:trPr>
        <w:tc>
          <w:tcPr>
            <w:tcW w:w="1436" w:type="dxa"/>
            <w:vMerge w:val="continue"/>
            <w:vAlign w:val="center"/>
          </w:tcPr>
          <w:p>
            <w:pPr>
              <w:widowControl/>
              <w:adjustRightInd w:val="0"/>
              <w:snapToGrid w:val="0"/>
              <w:jc w:val="left"/>
              <w:rPr>
                <w:rFonts w:hint="default" w:ascii="Times New Roman" w:hAnsi="Times New Roman" w:cs="Times New Roman"/>
                <w:kern w:val="0"/>
                <w:sz w:val="18"/>
                <w:szCs w:val="18"/>
              </w:rPr>
            </w:pPr>
          </w:p>
        </w:tc>
        <w:tc>
          <w:tcPr>
            <w:tcW w:w="3425" w:type="dxa"/>
            <w:gridSpan w:val="4"/>
            <w:vAlign w:val="center"/>
          </w:tcPr>
          <w:p>
            <w:pPr>
              <w:widowControl/>
              <w:adjustRightInd w:val="0"/>
              <w:snapToGrid w:val="0"/>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观测资料已整编：是</w:t>
            </w:r>
            <w:r>
              <w:rPr>
                <w:rFonts w:hint="default" w:ascii="Times New Roman" w:hAnsi="Times New Roman" w:cs="Times New Roman"/>
                <w:sz w:val="18"/>
                <w:szCs w:val="18"/>
              </w:rPr>
              <w:t>□ 否□</w:t>
            </w:r>
          </w:p>
        </w:tc>
        <w:tc>
          <w:tcPr>
            <w:tcW w:w="4520" w:type="dxa"/>
            <w:gridSpan w:val="3"/>
            <w:vAlign w:val="center"/>
          </w:tcPr>
          <w:p>
            <w:pPr>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测值异常情况：无</w:t>
            </w:r>
            <w:r>
              <w:rPr>
                <w:rFonts w:hint="default" w:ascii="Times New Roman" w:hAnsi="Times New Roman" w:cs="Times New Roman"/>
                <w:sz w:val="18"/>
                <w:szCs w:val="18"/>
              </w:rPr>
              <w:t>□ 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7" w:hRule="atLeast"/>
          <w:jc w:val="center"/>
        </w:trPr>
        <w:tc>
          <w:tcPr>
            <w:tcW w:w="1436" w:type="dxa"/>
            <w:vMerge w:val="restart"/>
            <w:vAlign w:val="center"/>
          </w:tcPr>
          <w:p>
            <w:pPr>
              <w:adjustRightInd w:val="0"/>
              <w:snapToGrid w:val="0"/>
              <w:jc w:val="center"/>
              <w:rPr>
                <w:rFonts w:hint="default" w:ascii="Times New Roman" w:hAnsi="Times New Roman" w:cs="Times New Roman"/>
                <w:kern w:val="0"/>
                <w:sz w:val="18"/>
                <w:szCs w:val="18"/>
              </w:rPr>
            </w:pPr>
            <w:r>
              <w:rPr>
                <w:rFonts w:hint="default" w:ascii="Times New Roman" w:hAnsi="Times New Roman" w:cs="Times New Roman"/>
                <w:sz w:val="18"/>
                <w:szCs w:val="18"/>
              </w:rPr>
              <w:t>管理责任人</w:t>
            </w:r>
          </w:p>
        </w:tc>
        <w:tc>
          <w:tcPr>
            <w:tcW w:w="3425" w:type="dxa"/>
            <w:gridSpan w:val="4"/>
            <w:vAlign w:val="center"/>
          </w:tcPr>
          <w:p>
            <w:pPr>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主管部门（或所有权人）负责人：</w:t>
            </w:r>
          </w:p>
        </w:tc>
        <w:tc>
          <w:tcPr>
            <w:tcW w:w="4520" w:type="dxa"/>
            <w:gridSpan w:val="3"/>
            <w:vAlign w:val="center"/>
          </w:tcPr>
          <w:p>
            <w:pPr>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管理单位负责人：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9" w:hRule="atLeast"/>
          <w:jc w:val="center"/>
        </w:trPr>
        <w:tc>
          <w:tcPr>
            <w:tcW w:w="1436" w:type="dxa"/>
            <w:vMerge w:val="continue"/>
            <w:vAlign w:val="center"/>
          </w:tcPr>
          <w:p>
            <w:pPr>
              <w:widowControl/>
              <w:adjustRightInd w:val="0"/>
              <w:snapToGrid w:val="0"/>
              <w:jc w:val="left"/>
              <w:rPr>
                <w:rFonts w:hint="default" w:ascii="Times New Roman" w:hAnsi="Times New Roman" w:cs="Times New Roman"/>
                <w:kern w:val="0"/>
                <w:sz w:val="18"/>
                <w:szCs w:val="18"/>
              </w:rPr>
            </w:pPr>
          </w:p>
        </w:tc>
        <w:tc>
          <w:tcPr>
            <w:tcW w:w="3425" w:type="dxa"/>
            <w:gridSpan w:val="4"/>
            <w:vAlign w:val="center"/>
          </w:tcPr>
          <w:p>
            <w:pPr>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日常巡查人员：</w:t>
            </w:r>
          </w:p>
        </w:tc>
        <w:tc>
          <w:tcPr>
            <w:tcW w:w="4520" w:type="dxa"/>
            <w:gridSpan w:val="3"/>
            <w:vAlign w:val="center"/>
          </w:tcPr>
          <w:p>
            <w:pPr>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巡查员合同：无</w:t>
            </w:r>
            <w:r>
              <w:rPr>
                <w:rFonts w:hint="default" w:ascii="Times New Roman" w:hAnsi="Times New Roman" w:cs="Times New Roman"/>
                <w:sz w:val="18"/>
                <w:szCs w:val="18"/>
              </w:rPr>
              <w:t>□ 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4" w:hRule="atLeast"/>
          <w:jc w:val="center"/>
        </w:trPr>
        <w:tc>
          <w:tcPr>
            <w:tcW w:w="1436" w:type="dxa"/>
            <w:vMerge w:val="continue"/>
            <w:vAlign w:val="center"/>
          </w:tcPr>
          <w:p>
            <w:pPr>
              <w:widowControl/>
              <w:adjustRightInd w:val="0"/>
              <w:snapToGrid w:val="0"/>
              <w:jc w:val="left"/>
              <w:rPr>
                <w:rFonts w:hint="default" w:ascii="Times New Roman" w:hAnsi="Times New Roman" w:cs="Times New Roman"/>
                <w:kern w:val="0"/>
                <w:sz w:val="18"/>
                <w:szCs w:val="18"/>
              </w:rPr>
            </w:pPr>
          </w:p>
        </w:tc>
        <w:tc>
          <w:tcPr>
            <w:tcW w:w="3425" w:type="dxa"/>
            <w:gridSpan w:val="4"/>
            <w:vAlign w:val="center"/>
          </w:tcPr>
          <w:p>
            <w:pPr>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巡查员培训：是</w:t>
            </w:r>
            <w:r>
              <w:rPr>
                <w:rFonts w:hint="default" w:ascii="Times New Roman" w:hAnsi="Times New Roman" w:cs="Times New Roman"/>
                <w:sz w:val="18"/>
                <w:szCs w:val="18"/>
              </w:rPr>
              <w:t>□ 否□</w:t>
            </w:r>
          </w:p>
        </w:tc>
        <w:tc>
          <w:tcPr>
            <w:tcW w:w="4520" w:type="dxa"/>
            <w:gridSpan w:val="3"/>
            <w:vAlign w:val="center"/>
          </w:tcPr>
          <w:p>
            <w:pPr>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培训合格：是</w:t>
            </w:r>
            <w:r>
              <w:rPr>
                <w:rFonts w:hint="default" w:ascii="Times New Roman" w:hAnsi="Times New Roman" w:cs="Times New Roman"/>
                <w:sz w:val="18"/>
                <w:szCs w:val="18"/>
              </w:rPr>
              <w:t>□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436" w:type="dxa"/>
            <w:vMerge w:val="restart"/>
            <w:vAlign w:val="center"/>
          </w:tcPr>
          <w:p>
            <w:pPr>
              <w:adjustRightInd w:val="0"/>
              <w:snapToGrid w:val="0"/>
              <w:jc w:val="center"/>
              <w:rPr>
                <w:rFonts w:hint="default" w:ascii="Times New Roman" w:hAnsi="Times New Roman" w:cs="Times New Roman"/>
                <w:kern w:val="0"/>
                <w:sz w:val="18"/>
                <w:szCs w:val="18"/>
              </w:rPr>
            </w:pPr>
            <w:r>
              <w:rPr>
                <w:rFonts w:hint="default" w:ascii="Times New Roman" w:hAnsi="Times New Roman" w:cs="Times New Roman"/>
                <w:sz w:val="18"/>
                <w:szCs w:val="18"/>
              </w:rPr>
              <w:t>控制运用计划（调度方案）</w:t>
            </w:r>
          </w:p>
        </w:tc>
        <w:tc>
          <w:tcPr>
            <w:tcW w:w="3425" w:type="dxa"/>
            <w:gridSpan w:val="4"/>
            <w:vAlign w:val="center"/>
          </w:tcPr>
          <w:p>
            <w:pPr>
              <w:adjustRightInd w:val="0"/>
              <w:snapToGrid w:val="0"/>
              <w:rPr>
                <w:rFonts w:hint="default" w:ascii="Times New Roman" w:hAnsi="Times New Roman" w:cs="Times New Roman"/>
                <w:spacing w:val="-10"/>
                <w:kern w:val="0"/>
                <w:sz w:val="18"/>
                <w:szCs w:val="18"/>
              </w:rPr>
            </w:pPr>
            <w:r>
              <w:rPr>
                <w:rFonts w:hint="default" w:ascii="Times New Roman" w:hAnsi="Times New Roman" w:cs="Times New Roman"/>
                <w:spacing w:val="-10"/>
                <w:sz w:val="18"/>
                <w:szCs w:val="18"/>
              </w:rPr>
              <w:t>控制运用计划（调度方案）编制：是□ 否□</w:t>
            </w:r>
          </w:p>
        </w:tc>
        <w:tc>
          <w:tcPr>
            <w:tcW w:w="4520" w:type="dxa"/>
            <w:gridSpan w:val="3"/>
            <w:vAlign w:val="center"/>
          </w:tcPr>
          <w:p>
            <w:pPr>
              <w:adjustRightInd w:val="0"/>
              <w:snapToGrid w:val="0"/>
              <w:rPr>
                <w:rFonts w:hint="default" w:ascii="Times New Roman" w:hAnsi="Times New Roman" w:cs="Times New Roman"/>
                <w:spacing w:val="-10"/>
                <w:sz w:val="18"/>
                <w:szCs w:val="18"/>
              </w:rPr>
            </w:pPr>
            <w:r>
              <w:rPr>
                <w:rFonts w:hint="default" w:ascii="Times New Roman" w:hAnsi="Times New Roman" w:cs="Times New Roman"/>
                <w:spacing w:val="-10"/>
                <w:sz w:val="18"/>
                <w:szCs w:val="18"/>
              </w:rPr>
              <w:t>控制运用计划（调度方案）审批：是□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436" w:type="dxa"/>
            <w:vMerge w:val="continue"/>
            <w:vAlign w:val="center"/>
          </w:tcPr>
          <w:p>
            <w:pPr>
              <w:adjustRightInd w:val="0"/>
              <w:snapToGrid w:val="0"/>
              <w:jc w:val="center"/>
              <w:rPr>
                <w:rFonts w:hint="default" w:ascii="Times New Roman" w:hAnsi="Times New Roman" w:cs="Times New Roman"/>
                <w:sz w:val="18"/>
                <w:szCs w:val="18"/>
              </w:rPr>
            </w:pPr>
          </w:p>
        </w:tc>
        <w:tc>
          <w:tcPr>
            <w:tcW w:w="3425" w:type="dxa"/>
            <w:gridSpan w:val="4"/>
            <w:vAlign w:val="center"/>
          </w:tcPr>
          <w:p>
            <w:pPr>
              <w:adjustRightInd w:val="0"/>
              <w:snapToGrid w:val="0"/>
              <w:rPr>
                <w:rFonts w:hint="default" w:ascii="Times New Roman" w:hAnsi="Times New Roman" w:cs="Times New Roman"/>
                <w:spacing w:val="-10"/>
                <w:sz w:val="18"/>
                <w:szCs w:val="18"/>
              </w:rPr>
            </w:pPr>
            <w:r>
              <w:rPr>
                <w:rFonts w:hint="default" w:ascii="Times New Roman" w:hAnsi="Times New Roman" w:cs="Times New Roman"/>
                <w:spacing w:val="-10"/>
                <w:sz w:val="18"/>
                <w:szCs w:val="18"/>
              </w:rPr>
              <w:t>特征水位明确：是□ 否□</w:t>
            </w:r>
          </w:p>
        </w:tc>
        <w:tc>
          <w:tcPr>
            <w:tcW w:w="4520" w:type="dxa"/>
            <w:gridSpan w:val="3"/>
            <w:vAlign w:val="center"/>
          </w:tcPr>
          <w:p>
            <w:pPr>
              <w:adjustRightInd w:val="0"/>
              <w:snapToGrid w:val="0"/>
              <w:rPr>
                <w:rFonts w:hint="default" w:ascii="Times New Roman" w:hAnsi="Times New Roman" w:cs="Times New Roman"/>
                <w:spacing w:val="-1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436" w:type="dxa"/>
            <w:vMerge w:val="restart"/>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应急措施</w:t>
            </w:r>
          </w:p>
        </w:tc>
        <w:tc>
          <w:tcPr>
            <w:tcW w:w="3425" w:type="dxa"/>
            <w:gridSpan w:val="4"/>
            <w:vAlign w:val="center"/>
          </w:tcPr>
          <w:p>
            <w:pPr>
              <w:widowControl/>
              <w:adjustRightInd w:val="0"/>
              <w:snapToGrid w:val="0"/>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应急措施落实：是</w:t>
            </w:r>
            <w:r>
              <w:rPr>
                <w:rFonts w:hint="default" w:ascii="Times New Roman" w:hAnsi="Times New Roman" w:cs="Times New Roman"/>
                <w:sz w:val="18"/>
                <w:szCs w:val="18"/>
              </w:rPr>
              <w:t>□ 否□</w:t>
            </w:r>
          </w:p>
        </w:tc>
        <w:tc>
          <w:tcPr>
            <w:tcW w:w="4520" w:type="dxa"/>
            <w:gridSpan w:val="3"/>
            <w:vAlign w:val="center"/>
          </w:tcPr>
          <w:p>
            <w:pPr>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应急联系人（电话）：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436" w:type="dxa"/>
            <w:vMerge w:val="continue"/>
            <w:vAlign w:val="center"/>
          </w:tcPr>
          <w:p>
            <w:pPr>
              <w:widowControl/>
              <w:adjustRightInd w:val="0"/>
              <w:snapToGrid w:val="0"/>
              <w:jc w:val="left"/>
              <w:rPr>
                <w:rFonts w:hint="default" w:ascii="Times New Roman" w:hAnsi="Times New Roman" w:cs="Times New Roman"/>
                <w:sz w:val="18"/>
                <w:szCs w:val="18"/>
              </w:rPr>
            </w:pPr>
          </w:p>
        </w:tc>
        <w:tc>
          <w:tcPr>
            <w:tcW w:w="3425" w:type="dxa"/>
            <w:gridSpan w:val="4"/>
            <w:vAlign w:val="center"/>
          </w:tcPr>
          <w:p>
            <w:pPr>
              <w:widowControl/>
              <w:adjustRightInd w:val="0"/>
              <w:snapToGrid w:val="0"/>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病险水库度汛方案落实：是</w:t>
            </w:r>
            <w:r>
              <w:rPr>
                <w:rFonts w:hint="default" w:ascii="Times New Roman" w:hAnsi="Times New Roman" w:cs="Times New Roman"/>
                <w:sz w:val="18"/>
                <w:szCs w:val="18"/>
              </w:rPr>
              <w:t>□ 否□</w:t>
            </w:r>
          </w:p>
        </w:tc>
        <w:tc>
          <w:tcPr>
            <w:tcW w:w="4520" w:type="dxa"/>
            <w:gridSpan w:val="3"/>
            <w:vAlign w:val="center"/>
          </w:tcPr>
          <w:p>
            <w:pPr>
              <w:adjustRightInd w:val="0"/>
              <w:snapToGrid w:val="0"/>
              <w:rPr>
                <w:rFonts w:hint="default"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436" w:type="dxa"/>
            <w:vAlign w:val="center"/>
          </w:tcPr>
          <w:p>
            <w:pPr>
              <w:adjustRightInd w:val="0"/>
              <w:snapToGrid w:val="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维修养护项目完成情况</w:t>
            </w:r>
          </w:p>
        </w:tc>
        <w:tc>
          <w:tcPr>
            <w:tcW w:w="7945" w:type="dxa"/>
            <w:gridSpan w:val="7"/>
            <w:vAlign w:val="center"/>
          </w:tcPr>
          <w:p>
            <w:pPr>
              <w:widowControl/>
              <w:adjustRightInd w:val="0"/>
              <w:snapToGrid w:val="0"/>
              <w:jc w:val="left"/>
              <w:rPr>
                <w:rFonts w:hint="default" w:ascii="Times New Roman" w:hAnsi="Times New Roman" w:cs="Times New Roman"/>
                <w:kern w:val="0"/>
                <w:sz w:val="18"/>
                <w:szCs w:val="18"/>
              </w:rPr>
            </w:pPr>
          </w:p>
          <w:p>
            <w:pPr>
              <w:widowControl/>
              <w:adjustRightInd w:val="0"/>
              <w:snapToGrid w:val="0"/>
              <w:jc w:val="left"/>
              <w:rPr>
                <w:rFonts w:hint="default"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436" w:type="dxa"/>
            <w:vAlign w:val="center"/>
          </w:tcPr>
          <w:p>
            <w:pPr>
              <w:adjustRightInd w:val="0"/>
              <w:snapToGrid w:val="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上一年度检查问题处置情况</w:t>
            </w:r>
          </w:p>
        </w:tc>
        <w:tc>
          <w:tcPr>
            <w:tcW w:w="7945" w:type="dxa"/>
            <w:gridSpan w:val="7"/>
            <w:vAlign w:val="center"/>
          </w:tcPr>
          <w:p>
            <w:pPr>
              <w:widowControl/>
              <w:adjustRightInd w:val="0"/>
              <w:snapToGrid w:val="0"/>
              <w:jc w:val="left"/>
              <w:rPr>
                <w:rFonts w:hint="default" w:ascii="Times New Roman" w:hAnsi="Times New Roman" w:cs="Times New Roman"/>
                <w:kern w:val="0"/>
                <w:sz w:val="18"/>
                <w:szCs w:val="18"/>
              </w:rPr>
            </w:pPr>
          </w:p>
          <w:p>
            <w:pPr>
              <w:widowControl/>
              <w:adjustRightInd w:val="0"/>
              <w:snapToGrid w:val="0"/>
              <w:jc w:val="left"/>
              <w:rPr>
                <w:rFonts w:hint="default"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436" w:type="dxa"/>
            <w:vAlign w:val="center"/>
          </w:tcPr>
          <w:p>
            <w:pPr>
              <w:widowControl/>
              <w:adjustRightInd w:val="0"/>
              <w:snapToGrid w:val="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是否可以正常度汛</w:t>
            </w:r>
          </w:p>
        </w:tc>
        <w:tc>
          <w:tcPr>
            <w:tcW w:w="7945" w:type="dxa"/>
            <w:gridSpan w:val="7"/>
            <w:vAlign w:val="center"/>
          </w:tcPr>
          <w:p>
            <w:pPr>
              <w:widowControl/>
              <w:adjustRightInd w:val="0"/>
              <w:snapToGrid w:val="0"/>
              <w:jc w:val="left"/>
              <w:rPr>
                <w:rFonts w:hint="default" w:ascii="Times New Roman" w:hAnsi="Times New Roman" w:cs="Times New Roman"/>
                <w:kern w:val="0"/>
                <w:sz w:val="18"/>
                <w:szCs w:val="18"/>
              </w:rPr>
            </w:pPr>
          </w:p>
          <w:p>
            <w:pPr>
              <w:widowControl/>
              <w:adjustRightInd w:val="0"/>
              <w:snapToGrid w:val="0"/>
              <w:jc w:val="left"/>
              <w:rPr>
                <w:rFonts w:hint="default"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436" w:type="dxa"/>
            <w:vAlign w:val="center"/>
          </w:tcPr>
          <w:p>
            <w:pPr>
              <w:widowControl/>
              <w:adjustRightInd w:val="0"/>
              <w:snapToGrid w:val="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汛前检查存在问题</w:t>
            </w:r>
          </w:p>
        </w:tc>
        <w:tc>
          <w:tcPr>
            <w:tcW w:w="7945" w:type="dxa"/>
            <w:gridSpan w:val="7"/>
            <w:vAlign w:val="center"/>
          </w:tcPr>
          <w:p>
            <w:pPr>
              <w:widowControl/>
              <w:adjustRightInd w:val="0"/>
              <w:snapToGrid w:val="0"/>
              <w:jc w:val="left"/>
              <w:rPr>
                <w:rFonts w:hint="default" w:ascii="Times New Roman" w:hAnsi="Times New Roman" w:cs="Times New Roman"/>
                <w:kern w:val="0"/>
                <w:sz w:val="18"/>
                <w:szCs w:val="18"/>
              </w:rPr>
            </w:pPr>
          </w:p>
          <w:p>
            <w:pPr>
              <w:widowControl/>
              <w:adjustRightInd w:val="0"/>
              <w:snapToGrid w:val="0"/>
              <w:jc w:val="left"/>
              <w:rPr>
                <w:rFonts w:hint="default"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436" w:type="dxa"/>
            <w:vAlign w:val="center"/>
          </w:tcPr>
          <w:p>
            <w:pPr>
              <w:widowControl/>
              <w:adjustRightInd w:val="0"/>
              <w:snapToGrid w:val="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存在问题的处理建议</w:t>
            </w:r>
          </w:p>
        </w:tc>
        <w:tc>
          <w:tcPr>
            <w:tcW w:w="7945" w:type="dxa"/>
            <w:gridSpan w:val="7"/>
            <w:vAlign w:val="center"/>
          </w:tcPr>
          <w:p>
            <w:pPr>
              <w:widowControl/>
              <w:adjustRightInd w:val="0"/>
              <w:snapToGrid w:val="0"/>
              <w:jc w:val="left"/>
              <w:rPr>
                <w:rFonts w:hint="default" w:ascii="Times New Roman" w:hAnsi="Times New Roman" w:cs="Times New Roman"/>
                <w:kern w:val="0"/>
                <w:sz w:val="18"/>
                <w:szCs w:val="18"/>
              </w:rPr>
            </w:pPr>
          </w:p>
          <w:p>
            <w:pPr>
              <w:widowControl/>
              <w:adjustRightInd w:val="0"/>
              <w:snapToGrid w:val="0"/>
              <w:jc w:val="left"/>
              <w:rPr>
                <w:rFonts w:hint="default"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436" w:type="dxa"/>
            <w:vAlign w:val="center"/>
          </w:tcPr>
          <w:p>
            <w:pPr>
              <w:adjustRightInd w:val="0"/>
              <w:snapToGrid w:val="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水库主管部门（或所有权人）负责人</w:t>
            </w:r>
          </w:p>
        </w:tc>
        <w:tc>
          <w:tcPr>
            <w:tcW w:w="1408" w:type="dxa"/>
            <w:vAlign w:val="center"/>
          </w:tcPr>
          <w:p>
            <w:pPr>
              <w:widowControl/>
              <w:adjustRightInd w:val="0"/>
              <w:snapToGrid w:val="0"/>
              <w:jc w:val="center"/>
              <w:rPr>
                <w:rFonts w:hint="default" w:ascii="Times New Roman" w:hAnsi="Times New Roman" w:cs="Times New Roman"/>
                <w:kern w:val="0"/>
                <w:sz w:val="18"/>
                <w:szCs w:val="18"/>
              </w:rPr>
            </w:pPr>
            <w:r>
              <w:rPr>
                <w:rFonts w:hint="default" w:ascii="Times New Roman" w:hAnsi="Times New Roman" w:cs="Times New Roman"/>
                <w:sz w:val="18"/>
                <w:szCs w:val="18"/>
              </w:rPr>
              <w:t>（签名）</w:t>
            </w:r>
          </w:p>
        </w:tc>
        <w:tc>
          <w:tcPr>
            <w:tcW w:w="1629" w:type="dxa"/>
            <w:gridSpan w:val="2"/>
            <w:vAlign w:val="center"/>
          </w:tcPr>
          <w:p>
            <w:pPr>
              <w:widowControl/>
              <w:adjustRightInd w:val="0"/>
              <w:snapToGrid w:val="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水库管理单位主要负责人</w:t>
            </w:r>
          </w:p>
        </w:tc>
        <w:tc>
          <w:tcPr>
            <w:tcW w:w="1720" w:type="dxa"/>
            <w:gridSpan w:val="2"/>
            <w:vAlign w:val="center"/>
          </w:tcPr>
          <w:p>
            <w:pPr>
              <w:widowControl/>
              <w:adjustRightInd w:val="0"/>
              <w:snapToGrid w:val="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（签名）</w:t>
            </w:r>
          </w:p>
        </w:tc>
        <w:tc>
          <w:tcPr>
            <w:tcW w:w="1695" w:type="dxa"/>
            <w:vAlign w:val="center"/>
          </w:tcPr>
          <w:p>
            <w:pPr>
              <w:widowControl/>
              <w:adjustRightInd w:val="0"/>
              <w:snapToGrid w:val="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检查人员</w:t>
            </w:r>
          </w:p>
        </w:tc>
        <w:tc>
          <w:tcPr>
            <w:tcW w:w="1493" w:type="dxa"/>
            <w:vAlign w:val="center"/>
          </w:tcPr>
          <w:p>
            <w:pPr>
              <w:widowControl/>
              <w:adjustRightInd w:val="0"/>
              <w:snapToGrid w:val="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（签名）</w:t>
            </w:r>
          </w:p>
        </w:tc>
      </w:tr>
    </w:tbl>
    <w:p>
      <w:pPr>
        <w:pStyle w:val="34"/>
        <w:rPr>
          <w:rFonts w:hint="default" w:ascii="Times New Roman" w:hAnsi="Times New Roman" w:eastAsia="黑体" w:cs="Times New Roman"/>
        </w:rPr>
      </w:pPr>
      <w:bookmarkStart w:id="318" w:name="_Toc30237"/>
    </w:p>
    <w:p>
      <w:pPr>
        <w:pStyle w:val="34"/>
        <w:rPr>
          <w:rFonts w:hint="default" w:ascii="Times New Roman" w:hAnsi="Times New Roman" w:eastAsia="黑体" w:cs="Times New Roman"/>
        </w:rPr>
      </w:pPr>
    </w:p>
    <w:p>
      <w:pPr>
        <w:pStyle w:val="34"/>
        <w:rPr>
          <w:rFonts w:hint="default" w:ascii="Times New Roman" w:hAnsi="Times New Roman" w:eastAsia="黑体" w:cs="Times New Roman"/>
        </w:rPr>
      </w:pPr>
    </w:p>
    <w:p>
      <w:pPr>
        <w:pStyle w:val="34"/>
        <w:rPr>
          <w:rFonts w:hint="default" w:ascii="Times New Roman" w:hAnsi="Times New Roman" w:eastAsia="黑体" w:cs="Times New Roman"/>
        </w:rPr>
      </w:pPr>
    </w:p>
    <w:p>
      <w:pPr>
        <w:pStyle w:val="34"/>
        <w:rPr>
          <w:rFonts w:hint="default" w:ascii="Times New Roman" w:hAnsi="Times New Roman" w:eastAsia="黑体" w:cs="Times New Roman"/>
        </w:rPr>
      </w:pPr>
    </w:p>
    <w:p>
      <w:pPr>
        <w:pStyle w:val="34"/>
        <w:rPr>
          <w:rFonts w:hint="default" w:ascii="Times New Roman" w:hAnsi="Times New Roman" w:eastAsia="黑体" w:cs="Times New Roman"/>
        </w:rPr>
      </w:pPr>
    </w:p>
    <w:p>
      <w:pPr>
        <w:widowControl/>
        <w:tabs>
          <w:tab w:val="center" w:pos="4201"/>
          <w:tab w:val="right" w:leader="dot" w:pos="9298"/>
        </w:tabs>
        <w:autoSpaceDE w:val="0"/>
        <w:autoSpaceDN w:val="0"/>
        <w:ind w:firstLine="420" w:firstLineChars="200"/>
        <w:rPr>
          <w:rFonts w:hint="default" w:ascii="Times New Roman" w:hAnsi="Times New Roman" w:cs="Times New Roman"/>
          <w:kern w:val="0"/>
        </w:rPr>
      </w:pPr>
    </w:p>
    <w:p>
      <w:pPr>
        <w:widowControl/>
        <w:spacing w:beforeLines="50" w:afterLines="50"/>
        <w:jc w:val="center"/>
        <w:outlineLvl w:val="2"/>
        <w:rPr>
          <w:rFonts w:hint="default" w:ascii="Times New Roman" w:hAnsi="Times New Roman" w:eastAsia="黑体" w:cs="Times New Roman"/>
          <w:kern w:val="0"/>
        </w:rPr>
      </w:pPr>
      <w:bookmarkStart w:id="319" w:name="_Toc159919355"/>
      <w:bookmarkStart w:id="320" w:name="_Toc152683788"/>
      <w:bookmarkStart w:id="321" w:name="_Toc533756502"/>
      <w:bookmarkStart w:id="322" w:name="_Toc152685367"/>
      <w:bookmarkStart w:id="323" w:name="_Toc157087569"/>
      <w:bookmarkStart w:id="324" w:name="_Toc149559775"/>
      <w:bookmarkStart w:id="325" w:name="_Toc157087729"/>
      <w:bookmarkStart w:id="326" w:name="_Toc533756545"/>
      <w:bookmarkStart w:id="327" w:name="_Toc161410798"/>
      <w:bookmarkStart w:id="328" w:name="_Toc159919877"/>
    </w:p>
    <w:p>
      <w:pPr>
        <w:widowControl/>
        <w:spacing w:beforeLines="50" w:afterLines="50"/>
        <w:jc w:val="center"/>
        <w:outlineLvl w:val="2"/>
        <w:rPr>
          <w:rFonts w:hint="default" w:ascii="Times New Roman" w:hAnsi="Times New Roman" w:eastAsia="黑体" w:cs="Times New Roman"/>
          <w:kern w:val="0"/>
        </w:rPr>
      </w:pPr>
      <w:bookmarkStart w:id="329" w:name="_Toc163465942"/>
      <w:bookmarkStart w:id="330" w:name="_Toc163461498"/>
      <w:r>
        <w:rPr>
          <w:rFonts w:hint="default" w:ascii="Times New Roman" w:hAnsi="Times New Roman" w:eastAsia="黑体" w:cs="Times New Roman"/>
          <w:kern w:val="0"/>
        </w:rPr>
        <w:t>表E.2 年度检查工程运行管理检查记录表</w:t>
      </w:r>
      <w:bookmarkEnd w:id="318"/>
      <w:bookmarkEnd w:id="319"/>
      <w:bookmarkEnd w:id="320"/>
      <w:bookmarkEnd w:id="321"/>
      <w:bookmarkEnd w:id="322"/>
      <w:bookmarkEnd w:id="323"/>
      <w:bookmarkEnd w:id="324"/>
      <w:bookmarkEnd w:id="325"/>
      <w:bookmarkEnd w:id="326"/>
      <w:bookmarkEnd w:id="327"/>
      <w:bookmarkEnd w:id="328"/>
      <w:bookmarkEnd w:id="329"/>
      <w:bookmarkEnd w:id="330"/>
    </w:p>
    <w:p>
      <w:pPr>
        <w:widowControl/>
        <w:tabs>
          <w:tab w:val="center" w:pos="4201"/>
          <w:tab w:val="right" w:leader="dot" w:pos="9298"/>
        </w:tabs>
        <w:autoSpaceDE w:val="0"/>
        <w:autoSpaceDN w:val="0"/>
        <w:ind w:firstLine="360" w:firstLineChars="200"/>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      镇（乡、街道）      村     水库      年</w:t>
      </w:r>
    </w:p>
    <w:tbl>
      <w:tblPr>
        <w:tblStyle w:val="45"/>
        <w:tblW w:w="940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
      <w:tblGrid>
        <w:gridCol w:w="1463"/>
        <w:gridCol w:w="1408"/>
        <w:gridCol w:w="322"/>
        <w:gridCol w:w="1304"/>
        <w:gridCol w:w="392"/>
        <w:gridCol w:w="1331"/>
        <w:gridCol w:w="1697"/>
        <w:gridCol w:w="149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463" w:type="dxa"/>
            <w:tcBorders>
              <w:top w:val="single" w:color="auto" w:sz="4" w:space="0"/>
            </w:tcBorders>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检查时间</w:t>
            </w:r>
          </w:p>
        </w:tc>
        <w:tc>
          <w:tcPr>
            <w:tcW w:w="1730" w:type="dxa"/>
            <w:gridSpan w:val="2"/>
            <w:tcBorders>
              <w:top w:val="single" w:color="auto" w:sz="4" w:space="0"/>
            </w:tcBorders>
            <w:vAlign w:val="center"/>
          </w:tcPr>
          <w:p>
            <w:pPr>
              <w:adjustRightInd w:val="0"/>
              <w:snapToGrid w:val="0"/>
              <w:jc w:val="right"/>
              <w:rPr>
                <w:rFonts w:hint="default" w:ascii="Times New Roman" w:hAnsi="Times New Roman" w:cs="Times New Roman"/>
                <w:sz w:val="18"/>
                <w:szCs w:val="18"/>
              </w:rPr>
            </w:pPr>
            <w:r>
              <w:rPr>
                <w:rFonts w:hint="default" w:ascii="Times New Roman" w:hAnsi="Times New Roman" w:cs="Times New Roman"/>
                <w:sz w:val="18"/>
                <w:szCs w:val="18"/>
              </w:rPr>
              <w:t>月   日</w:t>
            </w:r>
          </w:p>
        </w:tc>
        <w:tc>
          <w:tcPr>
            <w:tcW w:w="1696" w:type="dxa"/>
            <w:gridSpan w:val="2"/>
            <w:tcBorders>
              <w:top w:val="single" w:color="auto" w:sz="4" w:space="0"/>
            </w:tcBorders>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水位/溢流水深</w:t>
            </w:r>
          </w:p>
        </w:tc>
        <w:tc>
          <w:tcPr>
            <w:tcW w:w="1331" w:type="dxa"/>
            <w:tcBorders>
              <w:top w:val="single" w:color="auto" w:sz="4" w:space="0"/>
            </w:tcBorders>
            <w:vAlign w:val="center"/>
          </w:tcPr>
          <w:p>
            <w:pPr>
              <w:adjustRightInd w:val="0"/>
              <w:snapToGrid w:val="0"/>
              <w:jc w:val="right"/>
              <w:rPr>
                <w:rFonts w:hint="default" w:ascii="Times New Roman" w:hAnsi="Times New Roman" w:cs="Times New Roman"/>
                <w:sz w:val="18"/>
                <w:szCs w:val="18"/>
              </w:rPr>
            </w:pPr>
            <w:r>
              <w:rPr>
                <w:rFonts w:hint="default" w:ascii="Times New Roman" w:hAnsi="Times New Roman" w:cs="Times New Roman"/>
                <w:sz w:val="18"/>
                <w:szCs w:val="18"/>
              </w:rPr>
              <w:t>m/   m</w:t>
            </w:r>
          </w:p>
        </w:tc>
        <w:tc>
          <w:tcPr>
            <w:tcW w:w="1697" w:type="dxa"/>
            <w:tcBorders>
              <w:top w:val="single" w:color="auto" w:sz="4" w:space="0"/>
            </w:tcBorders>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天气</w:t>
            </w:r>
          </w:p>
        </w:tc>
        <w:tc>
          <w:tcPr>
            <w:tcW w:w="1491" w:type="dxa"/>
            <w:tcBorders>
              <w:top w:val="single" w:color="auto" w:sz="4" w:space="0"/>
            </w:tcBorders>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晴□阴□雨□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Ex>
        <w:trPr>
          <w:cantSplit/>
          <w:trHeight w:val="526" w:hRule="atLeast"/>
          <w:jc w:val="center"/>
        </w:trPr>
        <w:tc>
          <w:tcPr>
            <w:tcW w:w="9408" w:type="dxa"/>
            <w:gridSpan w:val="8"/>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检查内容与情况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Ex>
        <w:trPr>
          <w:cantSplit/>
          <w:trHeight w:val="406" w:hRule="atLeast"/>
          <w:jc w:val="center"/>
        </w:trPr>
        <w:tc>
          <w:tcPr>
            <w:tcW w:w="1463" w:type="dxa"/>
            <w:vMerge w:val="restart"/>
            <w:vAlign w:val="center"/>
          </w:tcPr>
          <w:p>
            <w:pPr>
              <w:adjustRightInd w:val="0"/>
              <w:snapToGrid w:val="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日常巡查</w:t>
            </w:r>
          </w:p>
        </w:tc>
        <w:tc>
          <w:tcPr>
            <w:tcW w:w="3426" w:type="dxa"/>
            <w:gridSpan w:val="4"/>
            <w:vAlign w:val="center"/>
          </w:tcPr>
          <w:p>
            <w:pPr>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日常巡查人员：</w:t>
            </w:r>
          </w:p>
        </w:tc>
        <w:tc>
          <w:tcPr>
            <w:tcW w:w="4519" w:type="dxa"/>
            <w:gridSpan w:val="3"/>
            <w:vAlign w:val="center"/>
          </w:tcPr>
          <w:p>
            <w:pPr>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巡查频次符合要求：是</w:t>
            </w:r>
            <w:r>
              <w:rPr>
                <w:rFonts w:hint="default" w:ascii="Times New Roman" w:hAnsi="Times New Roman" w:cs="Times New Roman"/>
                <w:sz w:val="18"/>
                <w:szCs w:val="18"/>
              </w:rPr>
              <w:t>□ 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Ex>
        <w:trPr>
          <w:cantSplit/>
          <w:trHeight w:val="412" w:hRule="atLeast"/>
          <w:jc w:val="center"/>
        </w:trPr>
        <w:tc>
          <w:tcPr>
            <w:tcW w:w="1463" w:type="dxa"/>
            <w:vMerge w:val="continue"/>
            <w:vAlign w:val="center"/>
          </w:tcPr>
          <w:p>
            <w:pPr>
              <w:adjustRightInd w:val="0"/>
              <w:snapToGrid w:val="0"/>
              <w:jc w:val="center"/>
              <w:rPr>
                <w:rFonts w:hint="default" w:ascii="Times New Roman" w:hAnsi="Times New Roman" w:cs="Times New Roman"/>
                <w:kern w:val="0"/>
                <w:sz w:val="18"/>
                <w:szCs w:val="18"/>
              </w:rPr>
            </w:pPr>
          </w:p>
        </w:tc>
        <w:tc>
          <w:tcPr>
            <w:tcW w:w="3426" w:type="dxa"/>
            <w:gridSpan w:val="4"/>
            <w:vAlign w:val="center"/>
          </w:tcPr>
          <w:p>
            <w:pPr>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记录完整情况：是</w:t>
            </w:r>
            <w:r>
              <w:rPr>
                <w:rFonts w:hint="default" w:ascii="Times New Roman" w:hAnsi="Times New Roman" w:cs="Times New Roman"/>
                <w:sz w:val="18"/>
                <w:szCs w:val="18"/>
              </w:rPr>
              <w:t>□ 否□</w:t>
            </w:r>
          </w:p>
        </w:tc>
        <w:tc>
          <w:tcPr>
            <w:tcW w:w="4519" w:type="dxa"/>
            <w:gridSpan w:val="3"/>
            <w:vAlign w:val="center"/>
          </w:tcPr>
          <w:p>
            <w:pPr>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内容真实：是</w:t>
            </w:r>
            <w:r>
              <w:rPr>
                <w:rFonts w:hint="default" w:ascii="Times New Roman" w:hAnsi="Times New Roman" w:cs="Times New Roman"/>
                <w:sz w:val="18"/>
                <w:szCs w:val="18"/>
              </w:rPr>
              <w:t>□ 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Ex>
        <w:trPr>
          <w:cantSplit/>
          <w:trHeight w:val="418" w:hRule="atLeast"/>
          <w:jc w:val="center"/>
        </w:trPr>
        <w:tc>
          <w:tcPr>
            <w:tcW w:w="1463" w:type="dxa"/>
            <w:vMerge w:val="continue"/>
            <w:vAlign w:val="center"/>
          </w:tcPr>
          <w:p>
            <w:pPr>
              <w:adjustRightInd w:val="0"/>
              <w:snapToGrid w:val="0"/>
              <w:jc w:val="center"/>
              <w:rPr>
                <w:rFonts w:hint="default" w:ascii="Times New Roman" w:hAnsi="Times New Roman" w:cs="Times New Roman"/>
                <w:kern w:val="0"/>
                <w:sz w:val="18"/>
                <w:szCs w:val="18"/>
              </w:rPr>
            </w:pPr>
          </w:p>
        </w:tc>
        <w:tc>
          <w:tcPr>
            <w:tcW w:w="7945" w:type="dxa"/>
            <w:gridSpan w:val="7"/>
            <w:vAlign w:val="center"/>
          </w:tcPr>
          <w:p>
            <w:pPr>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签名遗漏情况：无</w:t>
            </w:r>
            <w:r>
              <w:rPr>
                <w:rFonts w:hint="default" w:ascii="Times New Roman" w:hAnsi="Times New Roman" w:cs="Times New Roman"/>
                <w:sz w:val="18"/>
                <w:szCs w:val="18"/>
              </w:rPr>
              <w:t>□ 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Ex>
        <w:trPr>
          <w:cantSplit/>
          <w:trHeight w:val="411" w:hRule="atLeast"/>
          <w:jc w:val="center"/>
        </w:trPr>
        <w:tc>
          <w:tcPr>
            <w:tcW w:w="1463" w:type="dxa"/>
            <w:vMerge w:val="restart"/>
            <w:vAlign w:val="center"/>
          </w:tcPr>
          <w:p>
            <w:pPr>
              <w:adjustRightInd w:val="0"/>
              <w:snapToGrid w:val="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工程运行</w:t>
            </w:r>
          </w:p>
        </w:tc>
        <w:tc>
          <w:tcPr>
            <w:tcW w:w="3426" w:type="dxa"/>
            <w:gridSpan w:val="4"/>
            <w:vAlign w:val="center"/>
          </w:tcPr>
          <w:p>
            <w:pPr>
              <w:widowControl/>
              <w:adjustRightInd w:val="0"/>
              <w:snapToGrid w:val="0"/>
              <w:jc w:val="left"/>
              <w:rPr>
                <w:rFonts w:hint="default" w:ascii="Times New Roman" w:hAnsi="Times New Roman" w:cs="Times New Roman"/>
                <w:kern w:val="0"/>
                <w:sz w:val="18"/>
                <w:szCs w:val="18"/>
              </w:rPr>
            </w:pPr>
            <w:r>
              <w:rPr>
                <w:rFonts w:hint="default" w:ascii="Times New Roman" w:hAnsi="Times New Roman" w:cs="Times New Roman"/>
                <w:sz w:val="18"/>
                <w:szCs w:val="18"/>
              </w:rPr>
              <w:t>年度泄洪次数：      次</w:t>
            </w:r>
          </w:p>
        </w:tc>
        <w:tc>
          <w:tcPr>
            <w:tcW w:w="4519" w:type="dxa"/>
            <w:gridSpan w:val="3"/>
            <w:vAlign w:val="center"/>
          </w:tcPr>
          <w:p>
            <w:pPr>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年度最高水位：    （m）时间：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Ex>
        <w:trPr>
          <w:cantSplit/>
          <w:trHeight w:val="402" w:hRule="atLeast"/>
          <w:jc w:val="center"/>
        </w:trPr>
        <w:tc>
          <w:tcPr>
            <w:tcW w:w="1463" w:type="dxa"/>
            <w:vMerge w:val="continue"/>
            <w:vAlign w:val="center"/>
          </w:tcPr>
          <w:p>
            <w:pPr>
              <w:widowControl/>
              <w:adjustRightInd w:val="0"/>
              <w:snapToGrid w:val="0"/>
              <w:jc w:val="left"/>
              <w:rPr>
                <w:rFonts w:hint="default" w:ascii="Times New Roman" w:hAnsi="Times New Roman" w:cs="Times New Roman"/>
                <w:kern w:val="0"/>
                <w:sz w:val="18"/>
                <w:szCs w:val="18"/>
              </w:rPr>
            </w:pPr>
          </w:p>
        </w:tc>
        <w:tc>
          <w:tcPr>
            <w:tcW w:w="3426" w:type="dxa"/>
            <w:gridSpan w:val="4"/>
            <w:vAlign w:val="center"/>
          </w:tcPr>
          <w:p>
            <w:pPr>
              <w:widowControl/>
              <w:adjustRightInd w:val="0"/>
              <w:snapToGrid w:val="0"/>
              <w:jc w:val="left"/>
              <w:rPr>
                <w:rFonts w:hint="default" w:ascii="Times New Roman" w:hAnsi="Times New Roman" w:cs="Times New Roman"/>
                <w:kern w:val="0"/>
                <w:sz w:val="18"/>
                <w:szCs w:val="18"/>
              </w:rPr>
            </w:pPr>
            <w:r>
              <w:rPr>
                <w:rFonts w:hint="default" w:ascii="Times New Roman" w:hAnsi="Times New Roman" w:cs="Times New Roman"/>
                <w:sz w:val="18"/>
                <w:szCs w:val="18"/>
              </w:rPr>
              <w:t xml:space="preserve">最大泄洪水深：  （m）时间：   </w:t>
            </w:r>
          </w:p>
        </w:tc>
        <w:tc>
          <w:tcPr>
            <w:tcW w:w="4519" w:type="dxa"/>
            <w:gridSpan w:val="3"/>
            <w:vAlign w:val="center"/>
          </w:tcPr>
          <w:p>
            <w:pPr>
              <w:adjustRightInd w:val="0"/>
              <w:snapToGrid w:val="0"/>
              <w:rPr>
                <w:rFonts w:hint="default" w:ascii="Times New Roman" w:hAnsi="Times New Roman" w:cs="Times New Roman"/>
                <w:kern w:val="0"/>
                <w:sz w:val="18"/>
                <w:szCs w:val="18"/>
              </w:rPr>
            </w:pPr>
            <w:r>
              <w:rPr>
                <w:rFonts w:hint="default" w:ascii="Times New Roman" w:hAnsi="Times New Roman" w:cs="Times New Roman"/>
                <w:sz w:val="18"/>
                <w:szCs w:val="18"/>
              </w:rPr>
              <w:t>泄洪、放水记录：无□ 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Ex>
        <w:trPr>
          <w:cantSplit/>
          <w:trHeight w:val="422" w:hRule="atLeast"/>
          <w:jc w:val="center"/>
        </w:trPr>
        <w:tc>
          <w:tcPr>
            <w:tcW w:w="1463" w:type="dxa"/>
            <w:vMerge w:val="continue"/>
            <w:vAlign w:val="center"/>
          </w:tcPr>
          <w:p>
            <w:pPr>
              <w:widowControl/>
              <w:adjustRightInd w:val="0"/>
              <w:snapToGrid w:val="0"/>
              <w:jc w:val="left"/>
              <w:rPr>
                <w:rFonts w:hint="default" w:ascii="Times New Roman" w:hAnsi="Times New Roman" w:cs="Times New Roman"/>
                <w:kern w:val="0"/>
                <w:sz w:val="18"/>
                <w:szCs w:val="18"/>
              </w:rPr>
            </w:pPr>
          </w:p>
        </w:tc>
        <w:tc>
          <w:tcPr>
            <w:tcW w:w="7945" w:type="dxa"/>
            <w:gridSpan w:val="7"/>
            <w:vAlign w:val="center"/>
          </w:tcPr>
          <w:p>
            <w:pPr>
              <w:adjustRightInd w:val="0"/>
              <w:snapToGrid w:val="0"/>
              <w:rPr>
                <w:rFonts w:hint="default" w:ascii="Times New Roman" w:hAnsi="Times New Roman" w:cs="Times New Roman"/>
                <w:sz w:val="18"/>
                <w:szCs w:val="18"/>
              </w:rPr>
            </w:pPr>
            <w:r>
              <w:rPr>
                <w:rFonts w:hint="default" w:ascii="Times New Roman" w:hAnsi="Times New Roman" w:cs="Times New Roman"/>
                <w:sz w:val="18"/>
                <w:szCs w:val="18"/>
              </w:rPr>
              <w:t>溢洪道下游冲刷：</w:t>
            </w:r>
            <w:r>
              <w:rPr>
                <w:rFonts w:hint="default" w:ascii="Times New Roman" w:hAnsi="Times New Roman" w:cs="Times New Roman"/>
                <w:kern w:val="0"/>
                <w:sz w:val="18"/>
                <w:szCs w:val="18"/>
              </w:rPr>
              <w:t>不严重</w:t>
            </w:r>
            <w:r>
              <w:rPr>
                <w:rFonts w:hint="default" w:ascii="Times New Roman" w:hAnsi="Times New Roman" w:cs="Times New Roman"/>
                <w:sz w:val="18"/>
                <w:szCs w:val="18"/>
              </w:rPr>
              <w:t>□ 严重□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Ex>
        <w:trPr>
          <w:cantSplit/>
          <w:trHeight w:val="400" w:hRule="atLeast"/>
          <w:jc w:val="center"/>
        </w:trPr>
        <w:tc>
          <w:tcPr>
            <w:tcW w:w="1463" w:type="dxa"/>
            <w:vAlign w:val="center"/>
          </w:tcPr>
          <w:p>
            <w:pPr>
              <w:widowControl/>
              <w:adjustRightInd w:val="0"/>
              <w:snapToGrid w:val="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监测资料</w:t>
            </w:r>
          </w:p>
        </w:tc>
        <w:tc>
          <w:tcPr>
            <w:tcW w:w="3426" w:type="dxa"/>
            <w:gridSpan w:val="4"/>
            <w:vAlign w:val="center"/>
          </w:tcPr>
          <w:p>
            <w:pPr>
              <w:adjustRightInd w:val="0"/>
              <w:snapToGrid w:val="0"/>
              <w:rPr>
                <w:rFonts w:hint="default" w:ascii="Times New Roman" w:hAnsi="Times New Roman" w:cs="Times New Roman"/>
                <w:sz w:val="18"/>
                <w:szCs w:val="18"/>
              </w:rPr>
            </w:pPr>
            <w:r>
              <w:rPr>
                <w:rFonts w:hint="default" w:ascii="Times New Roman" w:hAnsi="Times New Roman" w:cs="Times New Roman"/>
                <w:sz w:val="18"/>
                <w:szCs w:val="18"/>
              </w:rPr>
              <w:t>监测数据完整、齐全：</w:t>
            </w:r>
            <w:r>
              <w:rPr>
                <w:rFonts w:hint="default" w:ascii="Times New Roman" w:hAnsi="Times New Roman" w:cs="Times New Roman"/>
                <w:kern w:val="0"/>
                <w:sz w:val="18"/>
                <w:szCs w:val="18"/>
              </w:rPr>
              <w:t>是</w:t>
            </w:r>
            <w:r>
              <w:rPr>
                <w:rFonts w:hint="default" w:ascii="Times New Roman" w:hAnsi="Times New Roman" w:cs="Times New Roman"/>
                <w:sz w:val="18"/>
                <w:szCs w:val="18"/>
              </w:rPr>
              <w:t>□ 否□</w:t>
            </w:r>
          </w:p>
        </w:tc>
        <w:tc>
          <w:tcPr>
            <w:tcW w:w="4519" w:type="dxa"/>
            <w:gridSpan w:val="3"/>
            <w:vAlign w:val="center"/>
          </w:tcPr>
          <w:p>
            <w:pPr>
              <w:adjustRightInd w:val="0"/>
              <w:snapToGrid w:val="0"/>
              <w:rPr>
                <w:rFonts w:hint="default" w:ascii="Times New Roman" w:hAnsi="Times New Roman" w:cs="Times New Roman"/>
                <w:sz w:val="18"/>
                <w:szCs w:val="18"/>
              </w:rPr>
            </w:pPr>
            <w:r>
              <w:rPr>
                <w:rFonts w:hint="default" w:ascii="Times New Roman" w:hAnsi="Times New Roman" w:cs="Times New Roman"/>
                <w:sz w:val="18"/>
                <w:szCs w:val="18"/>
              </w:rPr>
              <w:t>数据异常现象：</w:t>
            </w:r>
            <w:r>
              <w:rPr>
                <w:rFonts w:hint="default" w:ascii="Times New Roman" w:hAnsi="Times New Roman" w:cs="Times New Roman"/>
                <w:kern w:val="0"/>
                <w:sz w:val="18"/>
                <w:szCs w:val="18"/>
              </w:rPr>
              <w:t>无</w:t>
            </w:r>
            <w:r>
              <w:rPr>
                <w:rFonts w:hint="default" w:ascii="Times New Roman" w:hAnsi="Times New Roman" w:cs="Times New Roman"/>
                <w:sz w:val="18"/>
                <w:szCs w:val="18"/>
              </w:rPr>
              <w:t>□ 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Ex>
        <w:trPr>
          <w:cantSplit/>
          <w:trHeight w:val="420" w:hRule="atLeast"/>
          <w:jc w:val="center"/>
        </w:trPr>
        <w:tc>
          <w:tcPr>
            <w:tcW w:w="1463" w:type="dxa"/>
            <w:vAlign w:val="center"/>
          </w:tcPr>
          <w:p>
            <w:pPr>
              <w:adjustRightInd w:val="0"/>
              <w:snapToGrid w:val="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安全鉴定</w:t>
            </w:r>
          </w:p>
        </w:tc>
        <w:tc>
          <w:tcPr>
            <w:tcW w:w="3426" w:type="dxa"/>
            <w:gridSpan w:val="4"/>
            <w:vAlign w:val="center"/>
          </w:tcPr>
          <w:p>
            <w:pPr>
              <w:adjustRightInd w:val="0"/>
              <w:snapToGrid w:val="0"/>
              <w:rPr>
                <w:rFonts w:hint="default" w:ascii="Times New Roman" w:hAnsi="Times New Roman" w:cs="Times New Roman"/>
                <w:kern w:val="0"/>
                <w:sz w:val="18"/>
                <w:szCs w:val="18"/>
              </w:rPr>
            </w:pPr>
            <w:r>
              <w:rPr>
                <w:rFonts w:hint="default" w:ascii="Times New Roman" w:hAnsi="Times New Roman" w:cs="Times New Roman"/>
                <w:sz w:val="18"/>
                <w:szCs w:val="18"/>
              </w:rPr>
              <w:t>鉴定实施（计划）时间：</w:t>
            </w:r>
          </w:p>
        </w:tc>
        <w:tc>
          <w:tcPr>
            <w:tcW w:w="4519" w:type="dxa"/>
            <w:gridSpan w:val="3"/>
            <w:vAlign w:val="center"/>
          </w:tcPr>
          <w:p>
            <w:pPr>
              <w:adjustRightInd w:val="0"/>
              <w:snapToGrid w:val="0"/>
              <w:rPr>
                <w:rFonts w:hint="default" w:ascii="Times New Roman" w:hAnsi="Times New Roman" w:cs="Times New Roman"/>
                <w:kern w:val="0"/>
                <w:sz w:val="18"/>
                <w:szCs w:val="18"/>
              </w:rPr>
            </w:pPr>
            <w:r>
              <w:rPr>
                <w:rFonts w:hint="default" w:ascii="Times New Roman" w:hAnsi="Times New Roman" w:cs="Times New Roman"/>
                <w:sz w:val="18"/>
                <w:szCs w:val="18"/>
              </w:rPr>
              <w:t>鉴定结论：一类坝□ 二类坝□ 三类坝□</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Ex>
        <w:trPr>
          <w:cantSplit/>
          <w:trHeight w:val="398" w:hRule="atLeast"/>
          <w:jc w:val="center"/>
        </w:trPr>
        <w:tc>
          <w:tcPr>
            <w:tcW w:w="1463" w:type="dxa"/>
            <w:vAlign w:val="center"/>
          </w:tcPr>
          <w:p>
            <w:pPr>
              <w:adjustRightInd w:val="0"/>
              <w:snapToGrid w:val="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档案管理</w:t>
            </w:r>
          </w:p>
        </w:tc>
        <w:tc>
          <w:tcPr>
            <w:tcW w:w="7945" w:type="dxa"/>
            <w:gridSpan w:val="7"/>
            <w:vAlign w:val="center"/>
          </w:tcPr>
          <w:p>
            <w:pPr>
              <w:adjustRightInd w:val="0"/>
              <w:snapToGrid w:val="0"/>
              <w:rPr>
                <w:rFonts w:hint="default" w:ascii="Times New Roman" w:hAnsi="Times New Roman" w:cs="Times New Roman"/>
                <w:sz w:val="18"/>
                <w:szCs w:val="18"/>
              </w:rPr>
            </w:pPr>
            <w:r>
              <w:rPr>
                <w:rFonts w:hint="default" w:ascii="Times New Roman" w:hAnsi="Times New Roman" w:cs="Times New Roman"/>
                <w:kern w:val="0"/>
                <w:sz w:val="18"/>
                <w:szCs w:val="18"/>
              </w:rPr>
              <w:t>资料已存档内容：巡查记录□ 监测记录□ 维修养护记录□ 泄、放水记录□ 其他：</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463" w:type="dxa"/>
            <w:vAlign w:val="center"/>
          </w:tcPr>
          <w:p>
            <w:pPr>
              <w:adjustRightInd w:val="0"/>
              <w:snapToGrid w:val="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检查中发现的问题</w:t>
            </w:r>
          </w:p>
        </w:tc>
        <w:tc>
          <w:tcPr>
            <w:tcW w:w="7945" w:type="dxa"/>
            <w:gridSpan w:val="7"/>
            <w:vAlign w:val="center"/>
          </w:tcPr>
          <w:p>
            <w:pPr>
              <w:widowControl/>
              <w:adjustRightInd w:val="0"/>
              <w:snapToGrid w:val="0"/>
              <w:jc w:val="left"/>
              <w:rPr>
                <w:rFonts w:hint="default" w:ascii="Times New Roman" w:hAnsi="Times New Roman" w:cs="Times New Roman"/>
                <w:kern w:val="0"/>
                <w:sz w:val="18"/>
                <w:szCs w:val="18"/>
              </w:rPr>
            </w:pPr>
          </w:p>
          <w:p>
            <w:pPr>
              <w:widowControl/>
              <w:adjustRightInd w:val="0"/>
              <w:snapToGrid w:val="0"/>
              <w:jc w:val="left"/>
              <w:rPr>
                <w:rFonts w:hint="default" w:ascii="Times New Roman" w:hAnsi="Times New Roman" w:cs="Times New Roman"/>
                <w:kern w:val="0"/>
                <w:sz w:val="18"/>
                <w:szCs w:val="18"/>
              </w:rPr>
            </w:pPr>
          </w:p>
          <w:p>
            <w:pPr>
              <w:widowControl/>
              <w:adjustRightInd w:val="0"/>
              <w:snapToGrid w:val="0"/>
              <w:jc w:val="left"/>
              <w:rPr>
                <w:rFonts w:hint="default"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463" w:type="dxa"/>
            <w:vAlign w:val="center"/>
          </w:tcPr>
          <w:p>
            <w:pPr>
              <w:adjustRightInd w:val="0"/>
              <w:snapToGrid w:val="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需要维修养护项目</w:t>
            </w:r>
          </w:p>
        </w:tc>
        <w:tc>
          <w:tcPr>
            <w:tcW w:w="7945" w:type="dxa"/>
            <w:gridSpan w:val="7"/>
            <w:vAlign w:val="center"/>
          </w:tcPr>
          <w:p>
            <w:pPr>
              <w:widowControl/>
              <w:adjustRightInd w:val="0"/>
              <w:snapToGrid w:val="0"/>
              <w:jc w:val="left"/>
              <w:rPr>
                <w:rFonts w:hint="default" w:ascii="Times New Roman" w:hAnsi="Times New Roman" w:cs="Times New Roman"/>
                <w:kern w:val="0"/>
                <w:sz w:val="18"/>
                <w:szCs w:val="18"/>
              </w:rPr>
            </w:pPr>
          </w:p>
          <w:p>
            <w:pPr>
              <w:widowControl/>
              <w:adjustRightInd w:val="0"/>
              <w:snapToGrid w:val="0"/>
              <w:jc w:val="left"/>
              <w:rPr>
                <w:rFonts w:hint="default" w:ascii="Times New Roman" w:hAnsi="Times New Roman" w:cs="Times New Roman"/>
                <w:kern w:val="0"/>
                <w:sz w:val="18"/>
                <w:szCs w:val="18"/>
              </w:rPr>
            </w:pPr>
          </w:p>
          <w:p>
            <w:pPr>
              <w:widowControl/>
              <w:adjustRightInd w:val="0"/>
              <w:snapToGrid w:val="0"/>
              <w:jc w:val="left"/>
              <w:rPr>
                <w:rFonts w:hint="default"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463" w:type="dxa"/>
            <w:vAlign w:val="center"/>
          </w:tcPr>
          <w:p>
            <w:pPr>
              <w:widowControl/>
              <w:adjustRightInd w:val="0"/>
              <w:snapToGrid w:val="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下一步计划安排</w:t>
            </w:r>
          </w:p>
        </w:tc>
        <w:tc>
          <w:tcPr>
            <w:tcW w:w="7945" w:type="dxa"/>
            <w:gridSpan w:val="7"/>
            <w:vAlign w:val="center"/>
          </w:tcPr>
          <w:p>
            <w:pPr>
              <w:widowControl/>
              <w:adjustRightInd w:val="0"/>
              <w:snapToGrid w:val="0"/>
              <w:jc w:val="left"/>
              <w:rPr>
                <w:rFonts w:hint="default" w:ascii="Times New Roman" w:hAnsi="Times New Roman" w:cs="Times New Roman"/>
                <w:kern w:val="0"/>
                <w:sz w:val="18"/>
                <w:szCs w:val="18"/>
              </w:rPr>
            </w:pPr>
          </w:p>
          <w:p>
            <w:pPr>
              <w:widowControl/>
              <w:adjustRightInd w:val="0"/>
              <w:snapToGrid w:val="0"/>
              <w:jc w:val="left"/>
              <w:rPr>
                <w:rFonts w:hint="default" w:ascii="Times New Roman" w:hAnsi="Times New Roman" w:cs="Times New Roman"/>
                <w:kern w:val="0"/>
                <w:sz w:val="18"/>
                <w:szCs w:val="18"/>
              </w:rPr>
            </w:pPr>
          </w:p>
          <w:p>
            <w:pPr>
              <w:widowControl/>
              <w:adjustRightInd w:val="0"/>
              <w:snapToGrid w:val="0"/>
              <w:jc w:val="left"/>
              <w:rPr>
                <w:rFonts w:hint="default"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463" w:type="dxa"/>
            <w:tcBorders>
              <w:bottom w:val="single" w:color="auto" w:sz="4" w:space="0"/>
            </w:tcBorders>
            <w:vAlign w:val="center"/>
          </w:tcPr>
          <w:p>
            <w:pPr>
              <w:adjustRightInd w:val="0"/>
              <w:snapToGrid w:val="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水库主管部门（或所有权人）负责人</w:t>
            </w:r>
          </w:p>
        </w:tc>
        <w:tc>
          <w:tcPr>
            <w:tcW w:w="1408" w:type="dxa"/>
            <w:tcBorders>
              <w:bottom w:val="single" w:color="auto" w:sz="4" w:space="0"/>
            </w:tcBorders>
            <w:vAlign w:val="center"/>
          </w:tcPr>
          <w:p>
            <w:pPr>
              <w:widowControl/>
              <w:adjustRightInd w:val="0"/>
              <w:snapToGrid w:val="0"/>
              <w:jc w:val="center"/>
              <w:rPr>
                <w:rFonts w:hint="default" w:ascii="Times New Roman" w:hAnsi="Times New Roman" w:cs="Times New Roman"/>
                <w:kern w:val="0"/>
                <w:sz w:val="18"/>
                <w:szCs w:val="18"/>
              </w:rPr>
            </w:pPr>
            <w:r>
              <w:rPr>
                <w:rFonts w:hint="default" w:ascii="Times New Roman" w:hAnsi="Times New Roman" w:cs="Times New Roman"/>
                <w:sz w:val="18"/>
                <w:szCs w:val="18"/>
              </w:rPr>
              <w:t>（签名）</w:t>
            </w:r>
          </w:p>
        </w:tc>
        <w:tc>
          <w:tcPr>
            <w:tcW w:w="1626" w:type="dxa"/>
            <w:gridSpan w:val="2"/>
            <w:tcBorders>
              <w:bottom w:val="single" w:color="auto" w:sz="4" w:space="0"/>
            </w:tcBorders>
            <w:vAlign w:val="center"/>
          </w:tcPr>
          <w:p>
            <w:pPr>
              <w:widowControl/>
              <w:adjustRightInd w:val="0"/>
              <w:snapToGrid w:val="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水库管理单位主要负责人</w:t>
            </w:r>
          </w:p>
        </w:tc>
        <w:tc>
          <w:tcPr>
            <w:tcW w:w="1723" w:type="dxa"/>
            <w:gridSpan w:val="2"/>
            <w:tcBorders>
              <w:bottom w:val="single" w:color="auto" w:sz="4" w:space="0"/>
            </w:tcBorders>
            <w:vAlign w:val="center"/>
          </w:tcPr>
          <w:p>
            <w:pPr>
              <w:widowControl/>
              <w:adjustRightInd w:val="0"/>
              <w:snapToGrid w:val="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（签名）</w:t>
            </w:r>
          </w:p>
        </w:tc>
        <w:tc>
          <w:tcPr>
            <w:tcW w:w="1697" w:type="dxa"/>
            <w:tcBorders>
              <w:bottom w:val="single" w:color="auto" w:sz="4" w:space="0"/>
            </w:tcBorders>
            <w:vAlign w:val="center"/>
          </w:tcPr>
          <w:p>
            <w:pPr>
              <w:widowControl/>
              <w:adjustRightInd w:val="0"/>
              <w:snapToGrid w:val="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检查人员</w:t>
            </w:r>
          </w:p>
        </w:tc>
        <w:tc>
          <w:tcPr>
            <w:tcW w:w="1491" w:type="dxa"/>
            <w:tcBorders>
              <w:bottom w:val="single" w:color="auto" w:sz="4" w:space="0"/>
            </w:tcBorders>
            <w:vAlign w:val="center"/>
          </w:tcPr>
          <w:p>
            <w:pPr>
              <w:widowControl/>
              <w:adjustRightInd w:val="0"/>
              <w:snapToGrid w:val="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（签名）</w:t>
            </w:r>
          </w:p>
        </w:tc>
      </w:tr>
    </w:tbl>
    <w:p>
      <w:pPr>
        <w:widowControl/>
        <w:tabs>
          <w:tab w:val="center" w:pos="4201"/>
          <w:tab w:val="right" w:leader="dot" w:pos="9298"/>
        </w:tabs>
        <w:autoSpaceDE w:val="0"/>
        <w:autoSpaceDN w:val="0"/>
        <w:rPr>
          <w:rFonts w:hint="default" w:ascii="Times New Roman" w:hAnsi="Times New Roman" w:cs="Times New Roman"/>
          <w:kern w:val="0"/>
        </w:rPr>
      </w:pPr>
    </w:p>
    <w:p>
      <w:pPr>
        <w:widowControl/>
        <w:spacing w:beforeLines="50" w:afterLines="50"/>
        <w:jc w:val="center"/>
        <w:outlineLvl w:val="2"/>
        <w:rPr>
          <w:rFonts w:hint="default" w:ascii="Times New Roman" w:hAnsi="Times New Roman" w:eastAsia="黑体" w:cs="Times New Roman"/>
        </w:rPr>
      </w:pPr>
      <w:r>
        <w:rPr>
          <w:rFonts w:hint="default" w:ascii="Times New Roman" w:hAnsi="Times New Roman" w:eastAsia="黑体" w:cs="Times New Roman"/>
        </w:rPr>
        <w:br w:type="page"/>
      </w:r>
      <w:bookmarkStart w:id="331" w:name="_Toc152683789"/>
      <w:bookmarkStart w:id="332" w:name="_Toc159919356"/>
      <w:bookmarkStart w:id="333" w:name="_Toc163461499"/>
      <w:bookmarkStart w:id="334" w:name="_Toc163465943"/>
      <w:bookmarkStart w:id="335" w:name="_Toc157087570"/>
      <w:bookmarkStart w:id="336" w:name="_Toc157087730"/>
      <w:bookmarkStart w:id="337" w:name="_Toc161410799"/>
      <w:bookmarkStart w:id="338" w:name="_Toc159919878"/>
      <w:bookmarkStart w:id="339" w:name="_Toc152685368"/>
      <w:r>
        <w:rPr>
          <w:rFonts w:hint="default" w:ascii="Times New Roman" w:hAnsi="Times New Roman" w:eastAsia="黑体" w:cs="Times New Roman"/>
          <w:kern w:val="0"/>
        </w:rPr>
        <w:t>表E.3 汛前及年度检查工程外观检查记录表</w:t>
      </w:r>
      <w:bookmarkEnd w:id="331"/>
      <w:bookmarkEnd w:id="332"/>
      <w:bookmarkEnd w:id="333"/>
      <w:bookmarkEnd w:id="334"/>
      <w:bookmarkEnd w:id="335"/>
      <w:bookmarkEnd w:id="336"/>
      <w:bookmarkEnd w:id="337"/>
      <w:bookmarkEnd w:id="338"/>
      <w:bookmarkEnd w:id="339"/>
    </w:p>
    <w:p>
      <w:pPr>
        <w:widowControl/>
        <w:tabs>
          <w:tab w:val="center" w:pos="4201"/>
          <w:tab w:val="right" w:leader="dot" w:pos="9298"/>
        </w:tabs>
        <w:autoSpaceDE w:val="0"/>
        <w:autoSpaceDN w:val="0"/>
        <w:ind w:firstLine="360" w:firstLineChars="200"/>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      镇（乡、街道）      村     水库      年</w:t>
      </w:r>
    </w:p>
    <w:tbl>
      <w:tblPr>
        <w:tblStyle w:val="45"/>
        <w:tblW w:w="92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9"/>
        <w:gridCol w:w="1510"/>
        <w:gridCol w:w="270"/>
        <w:gridCol w:w="850"/>
        <w:gridCol w:w="557"/>
        <w:gridCol w:w="436"/>
        <w:gridCol w:w="1124"/>
        <w:gridCol w:w="588"/>
        <w:gridCol w:w="796"/>
        <w:gridCol w:w="176"/>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3" w:hRule="atLeast"/>
          <w:jc w:val="center"/>
        </w:trPr>
        <w:tc>
          <w:tcPr>
            <w:tcW w:w="1349" w:type="dxa"/>
            <w:vAlign w:val="center"/>
          </w:tcPr>
          <w:p>
            <w:pPr>
              <w:widowControl/>
              <w:tabs>
                <w:tab w:val="center" w:pos="4201"/>
                <w:tab w:val="right" w:leader="dot" w:pos="9298"/>
              </w:tabs>
              <w:autoSpaceDE w:val="0"/>
              <w:autoSpaceDN w:val="0"/>
              <w:adjustRightInd w:val="0"/>
              <w:snapToGrid w:val="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检查时间</w:t>
            </w:r>
          </w:p>
        </w:tc>
        <w:tc>
          <w:tcPr>
            <w:tcW w:w="1780" w:type="dxa"/>
            <w:gridSpan w:val="2"/>
            <w:vAlign w:val="center"/>
          </w:tcPr>
          <w:p>
            <w:pPr>
              <w:widowControl/>
              <w:tabs>
                <w:tab w:val="center" w:pos="4201"/>
                <w:tab w:val="right" w:leader="dot" w:pos="9298"/>
              </w:tabs>
              <w:autoSpaceDE w:val="0"/>
              <w:autoSpaceDN w:val="0"/>
              <w:adjustRightInd w:val="0"/>
              <w:snapToGrid w:val="0"/>
              <w:ind w:firstLine="360" w:firstLineChars="200"/>
              <w:rPr>
                <w:rFonts w:hint="default" w:ascii="Times New Roman" w:hAnsi="Times New Roman" w:cs="Times New Roman"/>
                <w:kern w:val="0"/>
                <w:sz w:val="18"/>
                <w:szCs w:val="18"/>
              </w:rPr>
            </w:pPr>
            <w:r>
              <w:rPr>
                <w:rFonts w:hint="default" w:ascii="Times New Roman" w:hAnsi="Times New Roman" w:cs="Times New Roman"/>
                <w:kern w:val="0"/>
                <w:sz w:val="18"/>
                <w:szCs w:val="18"/>
              </w:rPr>
              <w:t>月   日</w:t>
            </w:r>
          </w:p>
        </w:tc>
        <w:tc>
          <w:tcPr>
            <w:tcW w:w="1843" w:type="dxa"/>
            <w:gridSpan w:val="3"/>
            <w:vAlign w:val="center"/>
          </w:tcPr>
          <w:p>
            <w:pPr>
              <w:widowControl/>
              <w:tabs>
                <w:tab w:val="center" w:pos="4201"/>
                <w:tab w:val="right" w:leader="dot" w:pos="9298"/>
              </w:tabs>
              <w:autoSpaceDE w:val="0"/>
              <w:autoSpaceDN w:val="0"/>
              <w:adjustRightInd w:val="0"/>
              <w:snapToGrid w:val="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水位/溢流水深</w:t>
            </w:r>
          </w:p>
        </w:tc>
        <w:tc>
          <w:tcPr>
            <w:tcW w:w="1712" w:type="dxa"/>
            <w:gridSpan w:val="2"/>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  m/     m</w:t>
            </w:r>
          </w:p>
        </w:tc>
        <w:tc>
          <w:tcPr>
            <w:tcW w:w="796" w:type="dxa"/>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天气</w:t>
            </w:r>
          </w:p>
        </w:tc>
        <w:tc>
          <w:tcPr>
            <w:tcW w:w="1786" w:type="dxa"/>
            <w:gridSpan w:val="2"/>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晴□阴□雨□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0" w:hRule="atLeast"/>
          <w:jc w:val="center"/>
        </w:trPr>
        <w:tc>
          <w:tcPr>
            <w:tcW w:w="9266" w:type="dxa"/>
            <w:gridSpan w:val="11"/>
            <w:vAlign w:val="center"/>
          </w:tcPr>
          <w:p>
            <w:pPr>
              <w:widowControl/>
              <w:tabs>
                <w:tab w:val="center" w:pos="4201"/>
                <w:tab w:val="right" w:leader="dot" w:pos="9298"/>
              </w:tabs>
              <w:autoSpaceDE w:val="0"/>
              <w:autoSpaceDN w:val="0"/>
              <w:adjustRightInd w:val="0"/>
              <w:snapToGrid w:val="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检查内容与情况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9" w:hRule="atLeast"/>
          <w:jc w:val="center"/>
        </w:trPr>
        <w:tc>
          <w:tcPr>
            <w:tcW w:w="1349" w:type="dxa"/>
            <w:vAlign w:val="center"/>
          </w:tcPr>
          <w:p>
            <w:pPr>
              <w:widowControl/>
              <w:tabs>
                <w:tab w:val="center" w:pos="4201"/>
                <w:tab w:val="right" w:leader="dot" w:pos="9298"/>
              </w:tabs>
              <w:autoSpaceDE w:val="0"/>
              <w:autoSpaceDN w:val="0"/>
              <w:adjustRightInd w:val="0"/>
              <w:snapToGrid w:val="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防浪墙</w:t>
            </w:r>
          </w:p>
        </w:tc>
        <w:tc>
          <w:tcPr>
            <w:tcW w:w="2630" w:type="dxa"/>
            <w:gridSpan w:val="3"/>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开裂：无□ 有□；</w:t>
            </w:r>
          </w:p>
        </w:tc>
        <w:tc>
          <w:tcPr>
            <w:tcW w:w="2705" w:type="dxa"/>
            <w:gridSpan w:val="4"/>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错断：无□ 有□；</w:t>
            </w:r>
          </w:p>
        </w:tc>
        <w:tc>
          <w:tcPr>
            <w:tcW w:w="2582" w:type="dxa"/>
            <w:gridSpan w:val="3"/>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倾斜：无□ 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5" w:hRule="atLeast"/>
          <w:jc w:val="center"/>
        </w:trPr>
        <w:tc>
          <w:tcPr>
            <w:tcW w:w="1349" w:type="dxa"/>
            <w:vAlign w:val="center"/>
          </w:tcPr>
          <w:p>
            <w:pPr>
              <w:widowControl/>
              <w:tabs>
                <w:tab w:val="center" w:pos="4201"/>
                <w:tab w:val="right" w:leader="dot" w:pos="9298"/>
              </w:tabs>
              <w:autoSpaceDE w:val="0"/>
              <w:autoSpaceDN w:val="0"/>
              <w:adjustRightInd w:val="0"/>
              <w:snapToGrid w:val="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坝  顶</w:t>
            </w:r>
          </w:p>
        </w:tc>
        <w:tc>
          <w:tcPr>
            <w:tcW w:w="3623" w:type="dxa"/>
            <w:gridSpan w:val="5"/>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裂缝：无□ 有□</w:t>
            </w:r>
          </w:p>
        </w:tc>
        <w:tc>
          <w:tcPr>
            <w:tcW w:w="4294" w:type="dxa"/>
            <w:gridSpan w:val="5"/>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积水或植物滋生：无□ 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6" w:hRule="atLeast"/>
          <w:jc w:val="center"/>
        </w:trPr>
        <w:tc>
          <w:tcPr>
            <w:tcW w:w="1349" w:type="dxa"/>
            <w:vMerge w:val="restart"/>
            <w:vAlign w:val="center"/>
          </w:tcPr>
          <w:p>
            <w:pPr>
              <w:widowControl/>
              <w:tabs>
                <w:tab w:val="center" w:pos="4201"/>
                <w:tab w:val="right" w:leader="dot" w:pos="9298"/>
              </w:tabs>
              <w:autoSpaceDE w:val="0"/>
              <w:autoSpaceDN w:val="0"/>
              <w:adjustRightInd w:val="0"/>
              <w:snapToGrid w:val="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上游坝坡</w:t>
            </w:r>
          </w:p>
        </w:tc>
        <w:tc>
          <w:tcPr>
            <w:tcW w:w="2630" w:type="dxa"/>
            <w:gridSpan w:val="3"/>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裂缝：无□ 有□</w:t>
            </w:r>
          </w:p>
        </w:tc>
        <w:tc>
          <w:tcPr>
            <w:tcW w:w="2705" w:type="dxa"/>
            <w:gridSpan w:val="4"/>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塌坑、凹陷：无□ 有□</w:t>
            </w:r>
          </w:p>
        </w:tc>
        <w:tc>
          <w:tcPr>
            <w:tcW w:w="2582" w:type="dxa"/>
            <w:gridSpan w:val="3"/>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隆起：无□ 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6" w:hRule="atLeast"/>
          <w:jc w:val="center"/>
        </w:trPr>
        <w:tc>
          <w:tcPr>
            <w:tcW w:w="1349" w:type="dxa"/>
            <w:vMerge w:val="continue"/>
            <w:vAlign w:val="center"/>
          </w:tcPr>
          <w:p>
            <w:pPr>
              <w:widowControl/>
              <w:tabs>
                <w:tab w:val="center" w:pos="4201"/>
                <w:tab w:val="right" w:leader="dot" w:pos="9298"/>
              </w:tabs>
              <w:autoSpaceDE w:val="0"/>
              <w:autoSpaceDN w:val="0"/>
              <w:adjustRightInd w:val="0"/>
              <w:snapToGrid w:val="0"/>
              <w:jc w:val="center"/>
              <w:rPr>
                <w:rFonts w:hint="default" w:ascii="Times New Roman" w:hAnsi="Times New Roman" w:cs="Times New Roman"/>
                <w:kern w:val="0"/>
                <w:sz w:val="18"/>
                <w:szCs w:val="18"/>
              </w:rPr>
            </w:pPr>
          </w:p>
        </w:tc>
        <w:tc>
          <w:tcPr>
            <w:tcW w:w="2630" w:type="dxa"/>
            <w:gridSpan w:val="3"/>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护坡：完整□  破坏□</w:t>
            </w:r>
          </w:p>
        </w:tc>
        <w:tc>
          <w:tcPr>
            <w:tcW w:w="2705" w:type="dxa"/>
            <w:gridSpan w:val="4"/>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植物滋生：无□ 有□</w:t>
            </w:r>
          </w:p>
        </w:tc>
        <w:tc>
          <w:tcPr>
            <w:tcW w:w="2582" w:type="dxa"/>
            <w:gridSpan w:val="3"/>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6" w:hRule="atLeast"/>
          <w:jc w:val="center"/>
        </w:trPr>
        <w:tc>
          <w:tcPr>
            <w:tcW w:w="1349" w:type="dxa"/>
            <w:vAlign w:val="center"/>
          </w:tcPr>
          <w:p>
            <w:pPr>
              <w:widowControl/>
              <w:tabs>
                <w:tab w:val="center" w:pos="4201"/>
                <w:tab w:val="right" w:leader="dot" w:pos="9298"/>
              </w:tabs>
              <w:autoSpaceDE w:val="0"/>
              <w:autoSpaceDN w:val="0"/>
              <w:adjustRightInd w:val="0"/>
              <w:snapToGrid w:val="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近坝水面</w:t>
            </w:r>
          </w:p>
        </w:tc>
        <w:tc>
          <w:tcPr>
            <w:tcW w:w="2630" w:type="dxa"/>
            <w:gridSpan w:val="3"/>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冒泡、漩涡等：无□ 有□</w:t>
            </w:r>
          </w:p>
        </w:tc>
        <w:tc>
          <w:tcPr>
            <w:tcW w:w="5287" w:type="dxa"/>
            <w:gridSpan w:val="7"/>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 w:hRule="atLeast"/>
          <w:jc w:val="center"/>
        </w:trPr>
        <w:tc>
          <w:tcPr>
            <w:tcW w:w="1349" w:type="dxa"/>
            <w:vMerge w:val="restart"/>
            <w:vAlign w:val="center"/>
          </w:tcPr>
          <w:p>
            <w:pPr>
              <w:widowControl/>
              <w:tabs>
                <w:tab w:val="center" w:pos="4201"/>
                <w:tab w:val="right" w:leader="dot" w:pos="9298"/>
              </w:tabs>
              <w:autoSpaceDE w:val="0"/>
              <w:autoSpaceDN w:val="0"/>
              <w:adjustRightInd w:val="0"/>
              <w:snapToGrid w:val="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下游坝坡</w:t>
            </w:r>
          </w:p>
        </w:tc>
        <w:tc>
          <w:tcPr>
            <w:tcW w:w="2630" w:type="dxa"/>
            <w:gridSpan w:val="3"/>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裂缝：无□ 有□</w:t>
            </w:r>
          </w:p>
        </w:tc>
        <w:tc>
          <w:tcPr>
            <w:tcW w:w="2705" w:type="dxa"/>
            <w:gridSpan w:val="4"/>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塌坑、凹陷：无□ 有□</w:t>
            </w:r>
          </w:p>
        </w:tc>
        <w:tc>
          <w:tcPr>
            <w:tcW w:w="2582" w:type="dxa"/>
            <w:gridSpan w:val="3"/>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隆起：无□ 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 w:hRule="atLeast"/>
          <w:jc w:val="center"/>
        </w:trPr>
        <w:tc>
          <w:tcPr>
            <w:tcW w:w="1349" w:type="dxa"/>
            <w:vMerge w:val="continue"/>
            <w:vAlign w:val="center"/>
          </w:tcPr>
          <w:p>
            <w:pPr>
              <w:widowControl/>
              <w:tabs>
                <w:tab w:val="center" w:pos="4201"/>
                <w:tab w:val="right" w:leader="dot" w:pos="9298"/>
              </w:tabs>
              <w:autoSpaceDE w:val="0"/>
              <w:autoSpaceDN w:val="0"/>
              <w:adjustRightInd w:val="0"/>
              <w:snapToGrid w:val="0"/>
              <w:jc w:val="center"/>
              <w:rPr>
                <w:rFonts w:hint="default" w:ascii="Times New Roman" w:hAnsi="Times New Roman" w:cs="Times New Roman"/>
                <w:kern w:val="0"/>
                <w:sz w:val="18"/>
                <w:szCs w:val="18"/>
              </w:rPr>
            </w:pPr>
          </w:p>
        </w:tc>
        <w:tc>
          <w:tcPr>
            <w:tcW w:w="2630" w:type="dxa"/>
            <w:gridSpan w:val="3"/>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异常渗水：无□ 有□</w:t>
            </w:r>
          </w:p>
        </w:tc>
        <w:tc>
          <w:tcPr>
            <w:tcW w:w="2705" w:type="dxa"/>
            <w:gridSpan w:val="4"/>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植物滋生：无□ 有□</w:t>
            </w:r>
          </w:p>
        </w:tc>
        <w:tc>
          <w:tcPr>
            <w:tcW w:w="2582" w:type="dxa"/>
            <w:gridSpan w:val="3"/>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白蚁迹象：无□ 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4" w:hRule="atLeast"/>
          <w:jc w:val="center"/>
        </w:trPr>
        <w:tc>
          <w:tcPr>
            <w:tcW w:w="1349" w:type="dxa"/>
            <w:vMerge w:val="continue"/>
            <w:vAlign w:val="center"/>
          </w:tcPr>
          <w:p>
            <w:pPr>
              <w:widowControl/>
              <w:tabs>
                <w:tab w:val="center" w:pos="4201"/>
                <w:tab w:val="right" w:leader="dot" w:pos="9298"/>
              </w:tabs>
              <w:autoSpaceDE w:val="0"/>
              <w:autoSpaceDN w:val="0"/>
              <w:adjustRightInd w:val="0"/>
              <w:snapToGrid w:val="0"/>
              <w:jc w:val="center"/>
              <w:rPr>
                <w:rFonts w:hint="default" w:ascii="Times New Roman" w:hAnsi="Times New Roman" w:cs="Times New Roman"/>
                <w:kern w:val="0"/>
                <w:sz w:val="18"/>
                <w:szCs w:val="18"/>
              </w:rPr>
            </w:pPr>
          </w:p>
        </w:tc>
        <w:tc>
          <w:tcPr>
            <w:tcW w:w="2630" w:type="dxa"/>
            <w:gridSpan w:val="3"/>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动物洞穴：无□ 有□</w:t>
            </w:r>
          </w:p>
        </w:tc>
        <w:tc>
          <w:tcPr>
            <w:tcW w:w="2705" w:type="dxa"/>
            <w:gridSpan w:val="4"/>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排水体：完整□  破损□</w:t>
            </w:r>
          </w:p>
        </w:tc>
        <w:tc>
          <w:tcPr>
            <w:tcW w:w="2582" w:type="dxa"/>
            <w:gridSpan w:val="3"/>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其它（如漏水声等）：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8" w:hRule="atLeast"/>
          <w:jc w:val="center"/>
        </w:trPr>
        <w:tc>
          <w:tcPr>
            <w:tcW w:w="1349" w:type="dxa"/>
            <w:vMerge w:val="restart"/>
            <w:vAlign w:val="center"/>
          </w:tcPr>
          <w:p>
            <w:pPr>
              <w:widowControl/>
              <w:tabs>
                <w:tab w:val="center" w:pos="4201"/>
                <w:tab w:val="right" w:leader="dot" w:pos="9298"/>
              </w:tabs>
              <w:autoSpaceDE w:val="0"/>
              <w:autoSpaceDN w:val="0"/>
              <w:adjustRightInd w:val="0"/>
              <w:snapToGrid w:val="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坝址区</w:t>
            </w:r>
          </w:p>
        </w:tc>
        <w:tc>
          <w:tcPr>
            <w:tcW w:w="2630" w:type="dxa"/>
            <w:gridSpan w:val="3"/>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潮湿、渗水：无□ 有□</w:t>
            </w:r>
          </w:p>
        </w:tc>
        <w:tc>
          <w:tcPr>
            <w:tcW w:w="2705" w:type="dxa"/>
            <w:gridSpan w:val="4"/>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冒水、渗水坑：无□ 有□</w:t>
            </w:r>
          </w:p>
        </w:tc>
        <w:tc>
          <w:tcPr>
            <w:tcW w:w="2582" w:type="dxa"/>
            <w:gridSpan w:val="3"/>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渗透水浑浊度：清□ 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5" w:hRule="atLeast"/>
          <w:jc w:val="center"/>
        </w:trPr>
        <w:tc>
          <w:tcPr>
            <w:tcW w:w="1349" w:type="dxa"/>
            <w:vMerge w:val="continue"/>
            <w:vAlign w:val="center"/>
          </w:tcPr>
          <w:p>
            <w:pPr>
              <w:widowControl/>
              <w:tabs>
                <w:tab w:val="center" w:pos="4201"/>
                <w:tab w:val="right" w:leader="dot" w:pos="9298"/>
              </w:tabs>
              <w:autoSpaceDE w:val="0"/>
              <w:autoSpaceDN w:val="0"/>
              <w:adjustRightInd w:val="0"/>
              <w:snapToGrid w:val="0"/>
              <w:jc w:val="center"/>
              <w:rPr>
                <w:rFonts w:hint="default" w:ascii="Times New Roman" w:hAnsi="Times New Roman" w:cs="Times New Roman"/>
                <w:kern w:val="0"/>
                <w:sz w:val="18"/>
                <w:szCs w:val="18"/>
              </w:rPr>
            </w:pPr>
          </w:p>
        </w:tc>
        <w:tc>
          <w:tcPr>
            <w:tcW w:w="2630" w:type="dxa"/>
            <w:gridSpan w:val="3"/>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植物滋生：无□ 有□</w:t>
            </w:r>
          </w:p>
        </w:tc>
        <w:tc>
          <w:tcPr>
            <w:tcW w:w="5287" w:type="dxa"/>
            <w:gridSpan w:val="7"/>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8" w:hRule="atLeast"/>
          <w:jc w:val="center"/>
        </w:trPr>
        <w:tc>
          <w:tcPr>
            <w:tcW w:w="1349" w:type="dxa"/>
            <w:vMerge w:val="restart"/>
            <w:vAlign w:val="center"/>
          </w:tcPr>
          <w:p>
            <w:pPr>
              <w:widowControl/>
              <w:tabs>
                <w:tab w:val="center" w:pos="4201"/>
                <w:tab w:val="right" w:leader="dot" w:pos="9298"/>
              </w:tabs>
              <w:autoSpaceDE w:val="0"/>
              <w:autoSpaceDN w:val="0"/>
              <w:adjustRightInd w:val="0"/>
              <w:snapToGrid w:val="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两坝端</w:t>
            </w:r>
          </w:p>
          <w:p>
            <w:pPr>
              <w:widowControl/>
              <w:tabs>
                <w:tab w:val="center" w:pos="4201"/>
                <w:tab w:val="right" w:leader="dot" w:pos="9298"/>
              </w:tabs>
              <w:autoSpaceDE w:val="0"/>
              <w:autoSpaceDN w:val="0"/>
              <w:adjustRightInd w:val="0"/>
              <w:snapToGrid w:val="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（坝体与岸坡连接处）</w:t>
            </w:r>
          </w:p>
        </w:tc>
        <w:tc>
          <w:tcPr>
            <w:tcW w:w="2630" w:type="dxa"/>
            <w:gridSpan w:val="3"/>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裂缝：无□ 有□</w:t>
            </w:r>
          </w:p>
        </w:tc>
        <w:tc>
          <w:tcPr>
            <w:tcW w:w="2705" w:type="dxa"/>
            <w:gridSpan w:val="4"/>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隆起：无□ 有□</w:t>
            </w:r>
          </w:p>
        </w:tc>
        <w:tc>
          <w:tcPr>
            <w:tcW w:w="2582" w:type="dxa"/>
            <w:gridSpan w:val="3"/>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错动：无□ 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8" w:hRule="atLeast"/>
          <w:jc w:val="center"/>
        </w:trPr>
        <w:tc>
          <w:tcPr>
            <w:tcW w:w="1349" w:type="dxa"/>
            <w:vMerge w:val="continue"/>
            <w:vAlign w:val="center"/>
          </w:tcPr>
          <w:p>
            <w:pPr>
              <w:widowControl/>
              <w:tabs>
                <w:tab w:val="center" w:pos="4201"/>
                <w:tab w:val="right" w:leader="dot" w:pos="9298"/>
              </w:tabs>
              <w:autoSpaceDE w:val="0"/>
              <w:autoSpaceDN w:val="0"/>
              <w:adjustRightInd w:val="0"/>
              <w:snapToGrid w:val="0"/>
              <w:jc w:val="center"/>
              <w:rPr>
                <w:rFonts w:hint="default" w:ascii="Times New Roman" w:hAnsi="Times New Roman" w:cs="Times New Roman"/>
                <w:kern w:val="0"/>
                <w:sz w:val="18"/>
                <w:szCs w:val="18"/>
              </w:rPr>
            </w:pPr>
          </w:p>
        </w:tc>
        <w:tc>
          <w:tcPr>
            <w:tcW w:w="2630" w:type="dxa"/>
            <w:gridSpan w:val="3"/>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渗水现象：无□ 有□</w:t>
            </w:r>
          </w:p>
        </w:tc>
        <w:tc>
          <w:tcPr>
            <w:tcW w:w="2705" w:type="dxa"/>
            <w:gridSpan w:val="4"/>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排水沟堵塞：无□ 有□</w:t>
            </w:r>
          </w:p>
        </w:tc>
        <w:tc>
          <w:tcPr>
            <w:tcW w:w="2582" w:type="dxa"/>
            <w:gridSpan w:val="3"/>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岸坡滑动迹象：无□ 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1" w:hRule="atLeast"/>
          <w:jc w:val="center"/>
        </w:trPr>
        <w:tc>
          <w:tcPr>
            <w:tcW w:w="1349" w:type="dxa"/>
            <w:vMerge w:val="continue"/>
            <w:vAlign w:val="center"/>
          </w:tcPr>
          <w:p>
            <w:pPr>
              <w:widowControl/>
              <w:tabs>
                <w:tab w:val="center" w:pos="4201"/>
                <w:tab w:val="right" w:leader="dot" w:pos="9298"/>
              </w:tabs>
              <w:autoSpaceDE w:val="0"/>
              <w:autoSpaceDN w:val="0"/>
              <w:adjustRightInd w:val="0"/>
              <w:snapToGrid w:val="0"/>
              <w:jc w:val="center"/>
              <w:rPr>
                <w:rFonts w:hint="default" w:ascii="Times New Roman" w:hAnsi="Times New Roman" w:cs="Times New Roman"/>
                <w:kern w:val="0"/>
                <w:sz w:val="18"/>
                <w:szCs w:val="18"/>
              </w:rPr>
            </w:pPr>
          </w:p>
        </w:tc>
        <w:tc>
          <w:tcPr>
            <w:tcW w:w="2630" w:type="dxa"/>
            <w:gridSpan w:val="3"/>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白蚁迹象：无□ 有□</w:t>
            </w:r>
          </w:p>
        </w:tc>
        <w:tc>
          <w:tcPr>
            <w:tcW w:w="2705" w:type="dxa"/>
            <w:gridSpan w:val="4"/>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动物洞穴：无□ 有□</w:t>
            </w:r>
          </w:p>
        </w:tc>
        <w:tc>
          <w:tcPr>
            <w:tcW w:w="2582" w:type="dxa"/>
            <w:gridSpan w:val="3"/>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1" w:hRule="atLeast"/>
          <w:jc w:val="center"/>
        </w:trPr>
        <w:tc>
          <w:tcPr>
            <w:tcW w:w="1349" w:type="dxa"/>
            <w:vMerge w:val="restart"/>
            <w:vAlign w:val="center"/>
          </w:tcPr>
          <w:p>
            <w:pPr>
              <w:widowControl/>
              <w:tabs>
                <w:tab w:val="center" w:pos="4201"/>
                <w:tab w:val="right" w:leader="dot" w:pos="9298"/>
              </w:tabs>
              <w:autoSpaceDE w:val="0"/>
              <w:autoSpaceDN w:val="0"/>
              <w:adjustRightInd w:val="0"/>
              <w:snapToGrid w:val="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溢洪道</w:t>
            </w:r>
          </w:p>
        </w:tc>
        <w:tc>
          <w:tcPr>
            <w:tcW w:w="2630" w:type="dxa"/>
            <w:gridSpan w:val="3"/>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杂物堆积：无□ 有□</w:t>
            </w:r>
          </w:p>
        </w:tc>
        <w:tc>
          <w:tcPr>
            <w:tcW w:w="2705" w:type="dxa"/>
            <w:gridSpan w:val="4"/>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障碍物：无□ 有□</w:t>
            </w:r>
          </w:p>
        </w:tc>
        <w:tc>
          <w:tcPr>
            <w:tcW w:w="2582" w:type="dxa"/>
            <w:gridSpan w:val="3"/>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边墙完整：是□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1" w:hRule="atLeast"/>
          <w:jc w:val="center"/>
        </w:trPr>
        <w:tc>
          <w:tcPr>
            <w:tcW w:w="1349" w:type="dxa"/>
            <w:vMerge w:val="continue"/>
            <w:vAlign w:val="center"/>
          </w:tcPr>
          <w:p>
            <w:pPr>
              <w:widowControl/>
              <w:tabs>
                <w:tab w:val="center" w:pos="4201"/>
                <w:tab w:val="right" w:leader="dot" w:pos="9298"/>
              </w:tabs>
              <w:autoSpaceDE w:val="0"/>
              <w:autoSpaceDN w:val="0"/>
              <w:adjustRightInd w:val="0"/>
              <w:snapToGrid w:val="0"/>
              <w:jc w:val="center"/>
              <w:rPr>
                <w:rFonts w:hint="default" w:ascii="Times New Roman" w:hAnsi="Times New Roman" w:cs="Times New Roman"/>
                <w:kern w:val="0"/>
                <w:sz w:val="18"/>
                <w:szCs w:val="18"/>
              </w:rPr>
            </w:pPr>
          </w:p>
        </w:tc>
        <w:tc>
          <w:tcPr>
            <w:tcW w:w="2630" w:type="dxa"/>
            <w:gridSpan w:val="3"/>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靠坝边墙稳定：无□ 有□</w:t>
            </w:r>
          </w:p>
        </w:tc>
        <w:tc>
          <w:tcPr>
            <w:tcW w:w="2705" w:type="dxa"/>
            <w:gridSpan w:val="4"/>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消能设施完整：是□ 否□</w:t>
            </w:r>
          </w:p>
        </w:tc>
        <w:tc>
          <w:tcPr>
            <w:tcW w:w="2582" w:type="dxa"/>
            <w:gridSpan w:val="3"/>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岸坡危岩崩塌：无□ 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2" w:hRule="atLeast"/>
          <w:jc w:val="center"/>
        </w:trPr>
        <w:tc>
          <w:tcPr>
            <w:tcW w:w="1349" w:type="dxa"/>
            <w:vMerge w:val="restart"/>
            <w:vAlign w:val="center"/>
          </w:tcPr>
          <w:p>
            <w:pPr>
              <w:widowControl/>
              <w:tabs>
                <w:tab w:val="center" w:pos="4201"/>
                <w:tab w:val="right" w:leader="dot" w:pos="9298"/>
              </w:tabs>
              <w:autoSpaceDE w:val="0"/>
              <w:autoSpaceDN w:val="0"/>
              <w:adjustRightInd w:val="0"/>
              <w:snapToGrid w:val="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输水涵（洞）、（虹吸管）</w:t>
            </w:r>
          </w:p>
        </w:tc>
        <w:tc>
          <w:tcPr>
            <w:tcW w:w="3623" w:type="dxa"/>
            <w:gridSpan w:val="5"/>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进口水面冒泡：无□ 有□</w:t>
            </w:r>
          </w:p>
        </w:tc>
        <w:tc>
          <w:tcPr>
            <w:tcW w:w="4294" w:type="dxa"/>
            <w:gridSpan w:val="5"/>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洞（管）身断裂、损坏：无□ 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2" w:hRule="atLeast"/>
          <w:jc w:val="center"/>
        </w:trPr>
        <w:tc>
          <w:tcPr>
            <w:tcW w:w="1349" w:type="dxa"/>
            <w:vMerge w:val="continue"/>
            <w:vAlign w:val="center"/>
          </w:tcPr>
          <w:p>
            <w:pPr>
              <w:widowControl/>
              <w:tabs>
                <w:tab w:val="center" w:pos="4201"/>
                <w:tab w:val="right" w:leader="dot" w:pos="9298"/>
              </w:tabs>
              <w:autoSpaceDE w:val="0"/>
              <w:autoSpaceDN w:val="0"/>
              <w:adjustRightInd w:val="0"/>
              <w:snapToGrid w:val="0"/>
              <w:jc w:val="center"/>
              <w:rPr>
                <w:rFonts w:hint="default" w:ascii="Times New Roman" w:hAnsi="Times New Roman" w:cs="Times New Roman"/>
                <w:kern w:val="0"/>
                <w:sz w:val="18"/>
                <w:szCs w:val="18"/>
              </w:rPr>
            </w:pPr>
          </w:p>
        </w:tc>
        <w:tc>
          <w:tcPr>
            <w:tcW w:w="3623" w:type="dxa"/>
            <w:gridSpan w:val="5"/>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出口渗漏：无□ 有□</w:t>
            </w:r>
          </w:p>
        </w:tc>
        <w:tc>
          <w:tcPr>
            <w:tcW w:w="4294" w:type="dxa"/>
            <w:gridSpan w:val="5"/>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jc w:val="center"/>
        </w:trPr>
        <w:tc>
          <w:tcPr>
            <w:tcW w:w="1349" w:type="dxa"/>
            <w:vMerge w:val="restart"/>
            <w:vAlign w:val="center"/>
          </w:tcPr>
          <w:p>
            <w:pPr>
              <w:widowControl/>
              <w:tabs>
                <w:tab w:val="center" w:pos="4201"/>
                <w:tab w:val="right" w:leader="dot" w:pos="9298"/>
              </w:tabs>
              <w:autoSpaceDE w:val="0"/>
              <w:autoSpaceDN w:val="0"/>
              <w:adjustRightInd w:val="0"/>
              <w:snapToGrid w:val="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金属结构、</w:t>
            </w:r>
          </w:p>
          <w:p>
            <w:pPr>
              <w:widowControl/>
              <w:tabs>
                <w:tab w:val="center" w:pos="4201"/>
                <w:tab w:val="right" w:leader="dot" w:pos="9298"/>
              </w:tabs>
              <w:autoSpaceDE w:val="0"/>
              <w:autoSpaceDN w:val="0"/>
              <w:adjustRightInd w:val="0"/>
              <w:snapToGrid w:val="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启闭设备</w:t>
            </w:r>
          </w:p>
        </w:tc>
        <w:tc>
          <w:tcPr>
            <w:tcW w:w="3623" w:type="dxa"/>
            <w:gridSpan w:val="5"/>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闸门结构完整：是□ 否□</w:t>
            </w:r>
          </w:p>
        </w:tc>
        <w:tc>
          <w:tcPr>
            <w:tcW w:w="4294" w:type="dxa"/>
            <w:gridSpan w:val="5"/>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止水完好、无漏水：是□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jc w:val="center"/>
        </w:trPr>
        <w:tc>
          <w:tcPr>
            <w:tcW w:w="1349" w:type="dxa"/>
            <w:vMerge w:val="continue"/>
            <w:vAlign w:val="center"/>
          </w:tcPr>
          <w:p>
            <w:pPr>
              <w:widowControl/>
              <w:tabs>
                <w:tab w:val="center" w:pos="4201"/>
                <w:tab w:val="right" w:leader="dot" w:pos="9298"/>
              </w:tabs>
              <w:autoSpaceDE w:val="0"/>
              <w:autoSpaceDN w:val="0"/>
              <w:adjustRightInd w:val="0"/>
              <w:snapToGrid w:val="0"/>
              <w:jc w:val="center"/>
              <w:rPr>
                <w:rFonts w:hint="default" w:ascii="Times New Roman" w:hAnsi="Times New Roman" w:cs="Times New Roman"/>
                <w:kern w:val="0"/>
                <w:sz w:val="18"/>
                <w:szCs w:val="18"/>
              </w:rPr>
            </w:pPr>
          </w:p>
        </w:tc>
        <w:tc>
          <w:tcPr>
            <w:tcW w:w="3623" w:type="dxa"/>
            <w:gridSpan w:val="5"/>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锈蚀情况：无□一般□ 严重□</w:t>
            </w:r>
          </w:p>
        </w:tc>
        <w:tc>
          <w:tcPr>
            <w:tcW w:w="4294" w:type="dxa"/>
            <w:gridSpan w:val="5"/>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试运行情况：正常□ 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jc w:val="center"/>
        </w:trPr>
        <w:tc>
          <w:tcPr>
            <w:tcW w:w="1349" w:type="dxa"/>
            <w:vMerge w:val="restart"/>
            <w:vAlign w:val="center"/>
          </w:tcPr>
          <w:p>
            <w:pPr>
              <w:widowControl/>
              <w:tabs>
                <w:tab w:val="center" w:pos="4201"/>
                <w:tab w:val="right" w:leader="dot" w:pos="9298"/>
              </w:tabs>
              <w:autoSpaceDE w:val="0"/>
              <w:autoSpaceDN w:val="0"/>
              <w:adjustRightInd w:val="0"/>
              <w:snapToGrid w:val="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电气设施</w:t>
            </w:r>
          </w:p>
        </w:tc>
        <w:tc>
          <w:tcPr>
            <w:tcW w:w="3623" w:type="dxa"/>
            <w:gridSpan w:val="5"/>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线路接通：是□ 否□</w:t>
            </w:r>
          </w:p>
        </w:tc>
        <w:tc>
          <w:tcPr>
            <w:tcW w:w="4294" w:type="dxa"/>
            <w:gridSpan w:val="5"/>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备用电源完好：是□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jc w:val="center"/>
        </w:trPr>
        <w:tc>
          <w:tcPr>
            <w:tcW w:w="1349" w:type="dxa"/>
            <w:vMerge w:val="continue"/>
            <w:vAlign w:val="center"/>
          </w:tcPr>
          <w:p>
            <w:pPr>
              <w:widowControl/>
              <w:tabs>
                <w:tab w:val="center" w:pos="4201"/>
                <w:tab w:val="right" w:leader="dot" w:pos="9298"/>
              </w:tabs>
              <w:autoSpaceDE w:val="0"/>
              <w:autoSpaceDN w:val="0"/>
              <w:adjustRightInd w:val="0"/>
              <w:snapToGrid w:val="0"/>
              <w:jc w:val="center"/>
              <w:rPr>
                <w:rFonts w:hint="default" w:ascii="Times New Roman" w:hAnsi="Times New Roman" w:cs="Times New Roman"/>
                <w:kern w:val="0"/>
                <w:sz w:val="18"/>
                <w:szCs w:val="18"/>
              </w:rPr>
            </w:pPr>
          </w:p>
        </w:tc>
        <w:tc>
          <w:tcPr>
            <w:tcW w:w="3623" w:type="dxa"/>
            <w:gridSpan w:val="5"/>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试运行情况：正常□ 异常□</w:t>
            </w:r>
          </w:p>
        </w:tc>
        <w:tc>
          <w:tcPr>
            <w:tcW w:w="4294" w:type="dxa"/>
            <w:gridSpan w:val="5"/>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jc w:val="center"/>
        </w:trPr>
        <w:tc>
          <w:tcPr>
            <w:tcW w:w="1349" w:type="dxa"/>
            <w:vAlign w:val="center"/>
          </w:tcPr>
          <w:p>
            <w:pPr>
              <w:widowControl/>
              <w:tabs>
                <w:tab w:val="center" w:pos="4201"/>
                <w:tab w:val="right" w:leader="dot" w:pos="9298"/>
              </w:tabs>
              <w:autoSpaceDE w:val="0"/>
              <w:autoSpaceDN w:val="0"/>
              <w:adjustRightInd w:val="0"/>
              <w:snapToGrid w:val="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监测设施</w:t>
            </w:r>
          </w:p>
        </w:tc>
        <w:tc>
          <w:tcPr>
            <w:tcW w:w="3623" w:type="dxa"/>
            <w:gridSpan w:val="5"/>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监测设施完好：是□ 否□</w:t>
            </w:r>
          </w:p>
        </w:tc>
        <w:tc>
          <w:tcPr>
            <w:tcW w:w="4294" w:type="dxa"/>
            <w:gridSpan w:val="5"/>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正常观测：能□ 不能□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jc w:val="center"/>
        </w:trPr>
        <w:tc>
          <w:tcPr>
            <w:tcW w:w="1349" w:type="dxa"/>
            <w:vAlign w:val="center"/>
          </w:tcPr>
          <w:p>
            <w:pPr>
              <w:widowControl/>
              <w:tabs>
                <w:tab w:val="center" w:pos="4201"/>
                <w:tab w:val="right" w:leader="dot" w:pos="9298"/>
              </w:tabs>
              <w:autoSpaceDE w:val="0"/>
              <w:autoSpaceDN w:val="0"/>
              <w:adjustRightInd w:val="0"/>
              <w:snapToGrid w:val="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水雨情设施</w:t>
            </w:r>
          </w:p>
        </w:tc>
        <w:tc>
          <w:tcPr>
            <w:tcW w:w="3623" w:type="dxa"/>
            <w:gridSpan w:val="5"/>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设施完好：是□ 否□</w:t>
            </w:r>
          </w:p>
        </w:tc>
        <w:tc>
          <w:tcPr>
            <w:tcW w:w="4294" w:type="dxa"/>
            <w:gridSpan w:val="5"/>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电源充足：是□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jc w:val="center"/>
        </w:trPr>
        <w:tc>
          <w:tcPr>
            <w:tcW w:w="1349" w:type="dxa"/>
            <w:vMerge w:val="restart"/>
            <w:vAlign w:val="center"/>
          </w:tcPr>
          <w:p>
            <w:pPr>
              <w:widowControl/>
              <w:tabs>
                <w:tab w:val="center" w:pos="4201"/>
                <w:tab w:val="right" w:leader="dot" w:pos="9298"/>
              </w:tabs>
              <w:autoSpaceDE w:val="0"/>
              <w:autoSpaceDN w:val="0"/>
              <w:adjustRightInd w:val="0"/>
              <w:snapToGrid w:val="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管理设施</w:t>
            </w:r>
          </w:p>
        </w:tc>
        <w:tc>
          <w:tcPr>
            <w:tcW w:w="3623" w:type="dxa"/>
            <w:gridSpan w:val="5"/>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管理房完好：是□ 否□</w:t>
            </w:r>
          </w:p>
        </w:tc>
        <w:tc>
          <w:tcPr>
            <w:tcW w:w="4294" w:type="dxa"/>
            <w:gridSpan w:val="5"/>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标识标牌清晰、完整：是□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jc w:val="center"/>
        </w:trPr>
        <w:tc>
          <w:tcPr>
            <w:tcW w:w="1349" w:type="dxa"/>
            <w:vMerge w:val="continue"/>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p>
        </w:tc>
        <w:tc>
          <w:tcPr>
            <w:tcW w:w="3623" w:type="dxa"/>
            <w:gridSpan w:val="5"/>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坝区通信状况良好：是□ 否□</w:t>
            </w:r>
          </w:p>
        </w:tc>
        <w:tc>
          <w:tcPr>
            <w:tcW w:w="4294" w:type="dxa"/>
            <w:gridSpan w:val="5"/>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防汛道路通畅：是□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jc w:val="center"/>
        </w:trPr>
        <w:tc>
          <w:tcPr>
            <w:tcW w:w="1349" w:type="dxa"/>
            <w:vAlign w:val="center"/>
          </w:tcPr>
          <w:p>
            <w:pPr>
              <w:widowControl/>
              <w:tabs>
                <w:tab w:val="center" w:pos="4201"/>
                <w:tab w:val="right" w:leader="dot" w:pos="9298"/>
              </w:tabs>
              <w:autoSpaceDE w:val="0"/>
              <w:autoSpaceDN w:val="0"/>
              <w:adjustRightInd w:val="0"/>
              <w:snapToGrid w:val="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信息化</w:t>
            </w:r>
          </w:p>
        </w:tc>
        <w:tc>
          <w:tcPr>
            <w:tcW w:w="3623" w:type="dxa"/>
            <w:gridSpan w:val="5"/>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系统维护：是□ 否□</w:t>
            </w:r>
          </w:p>
        </w:tc>
        <w:tc>
          <w:tcPr>
            <w:tcW w:w="4294" w:type="dxa"/>
            <w:gridSpan w:val="5"/>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运行正常：是□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jc w:val="center"/>
        </w:trPr>
        <w:tc>
          <w:tcPr>
            <w:tcW w:w="1349" w:type="dxa"/>
            <w:vAlign w:val="center"/>
          </w:tcPr>
          <w:p>
            <w:pPr>
              <w:widowControl/>
              <w:tabs>
                <w:tab w:val="center" w:pos="4201"/>
                <w:tab w:val="right" w:leader="dot" w:pos="9298"/>
              </w:tabs>
              <w:autoSpaceDE w:val="0"/>
              <w:autoSpaceDN w:val="0"/>
              <w:adjustRightInd w:val="0"/>
              <w:snapToGrid w:val="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库区</w:t>
            </w:r>
          </w:p>
        </w:tc>
        <w:tc>
          <w:tcPr>
            <w:tcW w:w="3623" w:type="dxa"/>
            <w:gridSpan w:val="5"/>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侵占水域：无□ 有□</w:t>
            </w:r>
          </w:p>
        </w:tc>
        <w:tc>
          <w:tcPr>
            <w:tcW w:w="4294" w:type="dxa"/>
            <w:gridSpan w:val="5"/>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倾倒垃圾：无□ 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jc w:val="center"/>
        </w:trPr>
        <w:tc>
          <w:tcPr>
            <w:tcW w:w="1349" w:type="dxa"/>
            <w:vAlign w:val="center"/>
          </w:tcPr>
          <w:p>
            <w:pPr>
              <w:widowControl/>
              <w:tabs>
                <w:tab w:val="center" w:pos="4201"/>
                <w:tab w:val="right" w:leader="dot" w:pos="9298"/>
              </w:tabs>
              <w:autoSpaceDE w:val="0"/>
              <w:autoSpaceDN w:val="0"/>
              <w:adjustRightInd w:val="0"/>
              <w:snapToGrid w:val="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外观检查中存在的问题</w:t>
            </w:r>
          </w:p>
        </w:tc>
        <w:tc>
          <w:tcPr>
            <w:tcW w:w="7917" w:type="dxa"/>
            <w:gridSpan w:val="10"/>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p>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p>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349" w:type="dxa"/>
            <w:vAlign w:val="center"/>
          </w:tcPr>
          <w:p>
            <w:pPr>
              <w:widowControl/>
              <w:tabs>
                <w:tab w:val="center" w:pos="4201"/>
                <w:tab w:val="right" w:leader="dot" w:pos="9298"/>
              </w:tabs>
              <w:autoSpaceDE w:val="0"/>
              <w:autoSpaceDN w:val="0"/>
              <w:adjustRightInd w:val="0"/>
              <w:snapToGrid w:val="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水库主管部门（或所有权人）负责人</w:t>
            </w:r>
          </w:p>
        </w:tc>
        <w:tc>
          <w:tcPr>
            <w:tcW w:w="1510" w:type="dxa"/>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（签名）</w:t>
            </w:r>
          </w:p>
        </w:tc>
        <w:tc>
          <w:tcPr>
            <w:tcW w:w="1677" w:type="dxa"/>
            <w:gridSpan w:val="3"/>
            <w:vAlign w:val="center"/>
          </w:tcPr>
          <w:p>
            <w:pPr>
              <w:widowControl/>
              <w:tabs>
                <w:tab w:val="center" w:pos="4201"/>
                <w:tab w:val="right" w:leader="dot" w:pos="9298"/>
              </w:tabs>
              <w:autoSpaceDE w:val="0"/>
              <w:autoSpaceDN w:val="0"/>
              <w:adjustRightInd w:val="0"/>
              <w:snapToGrid w:val="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水库管理单位</w:t>
            </w:r>
          </w:p>
          <w:p>
            <w:pPr>
              <w:widowControl/>
              <w:tabs>
                <w:tab w:val="center" w:pos="4201"/>
                <w:tab w:val="right" w:leader="dot" w:pos="9298"/>
              </w:tabs>
              <w:autoSpaceDE w:val="0"/>
              <w:autoSpaceDN w:val="0"/>
              <w:adjustRightInd w:val="0"/>
              <w:snapToGrid w:val="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主要负责人</w:t>
            </w:r>
          </w:p>
        </w:tc>
        <w:tc>
          <w:tcPr>
            <w:tcW w:w="1560" w:type="dxa"/>
            <w:gridSpan w:val="2"/>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（签名）</w:t>
            </w:r>
          </w:p>
        </w:tc>
        <w:tc>
          <w:tcPr>
            <w:tcW w:w="1560" w:type="dxa"/>
            <w:gridSpan w:val="3"/>
            <w:vAlign w:val="center"/>
          </w:tcPr>
          <w:p>
            <w:pPr>
              <w:widowControl/>
              <w:tabs>
                <w:tab w:val="center" w:pos="4201"/>
                <w:tab w:val="right" w:leader="dot" w:pos="9298"/>
              </w:tabs>
              <w:autoSpaceDE w:val="0"/>
              <w:autoSpaceDN w:val="0"/>
              <w:adjustRightInd w:val="0"/>
              <w:snapToGrid w:val="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检查人员</w:t>
            </w:r>
          </w:p>
        </w:tc>
        <w:tc>
          <w:tcPr>
            <w:tcW w:w="1610" w:type="dxa"/>
            <w:vAlign w:val="center"/>
          </w:tcPr>
          <w:p>
            <w:pPr>
              <w:widowControl/>
              <w:tabs>
                <w:tab w:val="center" w:pos="4201"/>
                <w:tab w:val="right" w:leader="dot" w:pos="9298"/>
              </w:tabs>
              <w:autoSpaceDE w:val="0"/>
              <w:autoSpaceDN w:val="0"/>
              <w:adjustRightInd w:val="0"/>
              <w:snapToGrid w:val="0"/>
              <w:rPr>
                <w:rFonts w:hint="default" w:ascii="Times New Roman" w:hAnsi="Times New Roman" w:cs="Times New Roman"/>
                <w:kern w:val="0"/>
                <w:sz w:val="18"/>
                <w:szCs w:val="18"/>
              </w:rPr>
            </w:pPr>
            <w:r>
              <w:rPr>
                <w:rFonts w:hint="default" w:ascii="Times New Roman" w:hAnsi="Times New Roman" w:cs="Times New Roman"/>
                <w:kern w:val="0"/>
                <w:sz w:val="18"/>
                <w:szCs w:val="18"/>
              </w:rPr>
              <w:t>（签名）</w:t>
            </w:r>
          </w:p>
        </w:tc>
      </w:t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tbl>
    <w:p>
      <w:pPr>
        <w:pStyle w:val="34"/>
        <w:rPr>
          <w:rFonts w:hint="default" w:ascii="Times New Roman" w:hAnsi="Times New Roman" w:cs="Times New Roman"/>
        </w:rPr>
      </w:pPr>
    </w:p>
    <w:p>
      <w:pPr>
        <w:pStyle w:val="34"/>
        <w:rPr>
          <w:rFonts w:hint="default" w:ascii="Times New Roman" w:hAnsi="Times New Roman" w:cs="Times New Roman"/>
        </w:rPr>
      </w:pPr>
    </w:p>
    <w:p>
      <w:pPr>
        <w:pStyle w:val="34"/>
        <w:rPr>
          <w:rFonts w:hint="default" w:ascii="Times New Roman" w:hAnsi="Times New Roman" w:cs="Times New Roman"/>
        </w:rPr>
      </w:pPr>
    </w:p>
    <w:p>
      <w:pPr>
        <w:pStyle w:val="34"/>
        <w:rPr>
          <w:rFonts w:hint="default" w:ascii="Times New Roman" w:hAnsi="Times New Roman" w:cs="Times New Roman"/>
        </w:rPr>
      </w:pPr>
    </w:p>
    <w:p>
      <w:pPr>
        <w:pStyle w:val="34"/>
        <w:rPr>
          <w:rFonts w:hint="default" w:ascii="Times New Roman" w:hAnsi="Times New Roman" w:cs="Times New Roman"/>
        </w:rPr>
      </w:pPr>
    </w:p>
    <w:p>
      <w:pPr>
        <w:pStyle w:val="34"/>
        <w:rPr>
          <w:rFonts w:hint="default" w:ascii="Times New Roman" w:hAnsi="Times New Roman" w:cs="Times New Roman"/>
        </w:rPr>
      </w:pPr>
    </w:p>
    <w:p>
      <w:pPr>
        <w:pStyle w:val="203"/>
        <w:spacing w:before="78" w:after="156"/>
        <w:rPr>
          <w:rFonts w:hint="default" w:ascii="Times New Roman" w:hAnsi="Times New Roman" w:cs="Times New Roman"/>
        </w:rPr>
      </w:pPr>
      <w:bookmarkStart w:id="340" w:name="_Toc163465944"/>
      <w:r>
        <w:rPr>
          <w:rFonts w:hint="default" w:ascii="Times New Roman" w:hAnsi="Times New Roman" w:cs="Times New Roman"/>
        </w:rPr>
        <w:t>附录F</w:t>
      </w:r>
      <w:r>
        <w:rPr>
          <w:rFonts w:hint="default" w:ascii="Times New Roman" w:hAnsi="Times New Roman" w:cs="Times New Roman"/>
        </w:rPr>
        <w:br w:type="textWrapping"/>
      </w:r>
      <w:r>
        <w:rPr>
          <w:rFonts w:hint="default" w:ascii="Times New Roman" w:hAnsi="Times New Roman" w:cs="Times New Roman"/>
        </w:rPr>
        <w:t>（规范性附录）</w:t>
      </w:r>
      <w:r>
        <w:rPr>
          <w:rFonts w:hint="default" w:ascii="Times New Roman" w:hAnsi="Times New Roman" w:cs="Times New Roman"/>
        </w:rPr>
        <w:br w:type="textWrapping"/>
      </w:r>
      <w:r>
        <w:rPr>
          <w:rFonts w:hint="default" w:ascii="Times New Roman" w:hAnsi="Times New Roman" w:cs="Times New Roman"/>
        </w:rPr>
        <w:t>安全监测</w:t>
      </w:r>
      <w:bookmarkEnd w:id="340"/>
    </w:p>
    <w:p>
      <w:pPr>
        <w:widowControl/>
        <w:tabs>
          <w:tab w:val="center" w:pos="4201"/>
          <w:tab w:val="right" w:leader="dot" w:pos="9298"/>
        </w:tabs>
        <w:autoSpaceDE w:val="0"/>
        <w:autoSpaceDN w:val="0"/>
        <w:ind w:firstLine="420" w:firstLineChars="200"/>
        <w:rPr>
          <w:rFonts w:hint="default" w:ascii="Times New Roman" w:hAnsi="Times New Roman" w:cs="Times New Roman"/>
          <w:kern w:val="0"/>
        </w:rPr>
      </w:pPr>
      <w:bookmarkStart w:id="341" w:name="_Toc438493223"/>
      <w:bookmarkStart w:id="342" w:name="_Toc438490731"/>
      <w:bookmarkStart w:id="343" w:name="_Toc491871081"/>
      <w:bookmarkStart w:id="344" w:name="_Toc438485298"/>
      <w:bookmarkStart w:id="345" w:name="_Toc432444610"/>
      <w:bookmarkStart w:id="346" w:name="_Toc441938510"/>
      <w:bookmarkStart w:id="347" w:name="_Toc443550028"/>
      <w:r>
        <w:rPr>
          <w:rFonts w:hint="default" w:ascii="Times New Roman" w:hAnsi="Times New Roman" w:cs="Times New Roman"/>
          <w:kern w:val="0"/>
        </w:rPr>
        <w:t>表F.1、F.2分别给出了土石坝、混凝土坝安全监测项目和观测频次。</w:t>
      </w:r>
    </w:p>
    <w:p>
      <w:pPr>
        <w:widowControl/>
        <w:spacing w:beforeLines="50" w:afterLines="50"/>
        <w:jc w:val="center"/>
        <w:outlineLvl w:val="2"/>
        <w:rPr>
          <w:rFonts w:hint="default" w:ascii="Times New Roman" w:hAnsi="Times New Roman" w:eastAsia="黑体" w:cs="Times New Roman"/>
          <w:kern w:val="0"/>
        </w:rPr>
      </w:pPr>
      <w:bookmarkStart w:id="348" w:name="_Toc161410801"/>
      <w:bookmarkStart w:id="349" w:name="_Toc157087572"/>
      <w:bookmarkStart w:id="350" w:name="_Toc163461501"/>
      <w:bookmarkStart w:id="351" w:name="_Toc533756504"/>
      <w:bookmarkStart w:id="352" w:name="_Toc526084833"/>
      <w:bookmarkStart w:id="353" w:name="_Toc159919880"/>
      <w:bookmarkStart w:id="354" w:name="_Toc152685370"/>
      <w:bookmarkStart w:id="355" w:name="_Toc157087732"/>
      <w:bookmarkStart w:id="356" w:name="_Toc149559779"/>
      <w:bookmarkStart w:id="357" w:name="_Toc152683791"/>
      <w:bookmarkStart w:id="358" w:name="_Toc24410"/>
      <w:bookmarkStart w:id="359" w:name="_Toc533756547"/>
      <w:bookmarkStart w:id="360" w:name="_Toc163465945"/>
      <w:bookmarkStart w:id="361" w:name="_Toc159919358"/>
      <w:r>
        <w:rPr>
          <w:rFonts w:hint="default" w:ascii="Times New Roman" w:hAnsi="Times New Roman" w:eastAsia="黑体" w:cs="Times New Roman"/>
          <w:kern w:val="0"/>
        </w:rPr>
        <w:t>表F.1 土石坝安全监测项目及观测频次</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tbl>
      <w:tblPr>
        <w:tblStyle w:val="45"/>
        <w:tblW w:w="9309"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396"/>
        <w:gridCol w:w="2126"/>
        <w:gridCol w:w="851"/>
        <w:gridCol w:w="850"/>
        <w:gridCol w:w="2199"/>
        <w:gridCol w:w="1887"/>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68" w:hRule="atLeast"/>
          <w:jc w:val="center"/>
        </w:trPr>
        <w:tc>
          <w:tcPr>
            <w:tcW w:w="3522" w:type="dxa"/>
            <w:gridSpan w:val="2"/>
            <w:vMerge w:val="restart"/>
            <w:tcBorders>
              <w:top w:val="single" w:color="000000" w:sz="4" w:space="0"/>
              <w:left w:val="single" w:color="000000" w:sz="4" w:space="0"/>
            </w:tcBorders>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观测项目</w:t>
            </w:r>
          </w:p>
        </w:tc>
        <w:tc>
          <w:tcPr>
            <w:tcW w:w="1701" w:type="dxa"/>
            <w:gridSpan w:val="2"/>
            <w:tcBorders>
              <w:top w:val="single" w:color="000000" w:sz="4" w:space="0"/>
            </w:tcBorders>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建筑物级别</w:t>
            </w:r>
          </w:p>
        </w:tc>
        <w:tc>
          <w:tcPr>
            <w:tcW w:w="4086" w:type="dxa"/>
            <w:gridSpan w:val="2"/>
            <w:tcBorders>
              <w:top w:val="single" w:color="000000" w:sz="4" w:space="0"/>
              <w:right w:val="single" w:color="000000" w:sz="4" w:space="0"/>
            </w:tcBorders>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监测频次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68" w:hRule="atLeast"/>
          <w:jc w:val="center"/>
        </w:trPr>
        <w:tc>
          <w:tcPr>
            <w:tcW w:w="3522" w:type="dxa"/>
            <w:gridSpan w:val="2"/>
            <w:vMerge w:val="continue"/>
            <w:tcBorders>
              <w:left w:val="single" w:color="000000" w:sz="4" w:space="0"/>
            </w:tcBorders>
            <w:vAlign w:val="center"/>
          </w:tcPr>
          <w:p>
            <w:pPr>
              <w:adjustRightInd w:val="0"/>
              <w:snapToGrid w:val="0"/>
              <w:jc w:val="center"/>
              <w:rPr>
                <w:rFonts w:hint="default" w:ascii="Times New Roman" w:hAnsi="Times New Roman" w:cs="Times New Roman"/>
                <w:sz w:val="18"/>
                <w:szCs w:val="18"/>
              </w:rPr>
            </w:pPr>
          </w:p>
        </w:tc>
        <w:tc>
          <w:tcPr>
            <w:tcW w:w="851" w:type="dxa"/>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4</w:t>
            </w:r>
          </w:p>
        </w:tc>
        <w:tc>
          <w:tcPr>
            <w:tcW w:w="850" w:type="dxa"/>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5</w:t>
            </w:r>
          </w:p>
        </w:tc>
        <w:tc>
          <w:tcPr>
            <w:tcW w:w="2199" w:type="dxa"/>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初蓄期</w:t>
            </w:r>
          </w:p>
        </w:tc>
        <w:tc>
          <w:tcPr>
            <w:tcW w:w="1887" w:type="dxa"/>
            <w:tcBorders>
              <w:right w:val="single" w:color="000000" w:sz="4" w:space="0"/>
            </w:tcBorders>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运行期</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65" w:hRule="atLeast"/>
          <w:jc w:val="center"/>
        </w:trPr>
        <w:tc>
          <w:tcPr>
            <w:tcW w:w="1396" w:type="dxa"/>
            <w:vMerge w:val="restart"/>
            <w:tcBorders>
              <w:left w:val="single" w:color="000000" w:sz="4" w:space="0"/>
            </w:tcBorders>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环境量监测</w:t>
            </w:r>
          </w:p>
        </w:tc>
        <w:tc>
          <w:tcPr>
            <w:tcW w:w="2126" w:type="dxa"/>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上、下游水位</w:t>
            </w:r>
          </w:p>
        </w:tc>
        <w:tc>
          <w:tcPr>
            <w:tcW w:w="851" w:type="dxa"/>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0" w:type="dxa"/>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2199" w:type="dxa"/>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4 次/天～1 次/天</w:t>
            </w:r>
          </w:p>
        </w:tc>
        <w:tc>
          <w:tcPr>
            <w:tcW w:w="1887" w:type="dxa"/>
            <w:tcBorders>
              <w:right w:val="single" w:color="000000" w:sz="4" w:space="0"/>
            </w:tcBorders>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2 次/天～1 次/天</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65" w:hRule="atLeast"/>
          <w:jc w:val="center"/>
        </w:trPr>
        <w:tc>
          <w:tcPr>
            <w:tcW w:w="1396" w:type="dxa"/>
            <w:vMerge w:val="continue"/>
            <w:tcBorders>
              <w:left w:val="single" w:color="000000" w:sz="4" w:space="0"/>
            </w:tcBorders>
            <w:vAlign w:val="center"/>
          </w:tcPr>
          <w:p>
            <w:pPr>
              <w:adjustRightInd w:val="0"/>
              <w:snapToGrid w:val="0"/>
              <w:jc w:val="center"/>
              <w:rPr>
                <w:rFonts w:hint="default" w:ascii="Times New Roman" w:hAnsi="Times New Roman" w:cs="Times New Roman"/>
                <w:sz w:val="18"/>
                <w:szCs w:val="18"/>
              </w:rPr>
            </w:pPr>
          </w:p>
        </w:tc>
        <w:tc>
          <w:tcPr>
            <w:tcW w:w="2126" w:type="dxa"/>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溢流水深</w:t>
            </w:r>
          </w:p>
        </w:tc>
        <w:tc>
          <w:tcPr>
            <w:tcW w:w="851" w:type="dxa"/>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0" w:type="dxa"/>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2199" w:type="dxa"/>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4 次/天～1 次/天</w:t>
            </w:r>
          </w:p>
        </w:tc>
        <w:tc>
          <w:tcPr>
            <w:tcW w:w="1887" w:type="dxa"/>
            <w:tcBorders>
              <w:right w:val="single" w:color="000000" w:sz="4" w:space="0"/>
            </w:tcBorders>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2 次/天～1 次/天</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65" w:hRule="atLeast"/>
          <w:jc w:val="center"/>
        </w:trPr>
        <w:tc>
          <w:tcPr>
            <w:tcW w:w="1396" w:type="dxa"/>
            <w:vMerge w:val="continue"/>
            <w:tcBorders>
              <w:left w:val="single" w:color="000000" w:sz="4" w:space="0"/>
            </w:tcBorders>
            <w:vAlign w:val="center"/>
          </w:tcPr>
          <w:p>
            <w:pPr>
              <w:adjustRightInd w:val="0"/>
              <w:snapToGrid w:val="0"/>
              <w:jc w:val="center"/>
              <w:rPr>
                <w:rFonts w:hint="default" w:ascii="Times New Roman" w:hAnsi="Times New Roman" w:cs="Times New Roman"/>
                <w:sz w:val="18"/>
                <w:szCs w:val="18"/>
              </w:rPr>
            </w:pPr>
          </w:p>
        </w:tc>
        <w:tc>
          <w:tcPr>
            <w:tcW w:w="2126" w:type="dxa"/>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降雨</w:t>
            </w:r>
          </w:p>
        </w:tc>
        <w:tc>
          <w:tcPr>
            <w:tcW w:w="851" w:type="dxa"/>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0" w:type="dxa"/>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2199" w:type="dxa"/>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逐日</w:t>
            </w:r>
          </w:p>
        </w:tc>
        <w:tc>
          <w:tcPr>
            <w:tcW w:w="1887" w:type="dxa"/>
            <w:tcBorders>
              <w:right w:val="single" w:color="000000" w:sz="4" w:space="0"/>
            </w:tcBorders>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逐日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65" w:hRule="atLeast"/>
          <w:jc w:val="center"/>
        </w:trPr>
        <w:tc>
          <w:tcPr>
            <w:tcW w:w="1396" w:type="dxa"/>
            <w:vMerge w:val="restart"/>
            <w:tcBorders>
              <w:left w:val="single" w:color="000000" w:sz="4" w:space="0"/>
            </w:tcBorders>
            <w:vAlign w:val="center"/>
          </w:tcPr>
          <w:p>
            <w:pPr>
              <w:adjustRightInd w:val="0"/>
              <w:snapToGrid w:val="0"/>
              <w:ind w:left="113" w:right="113"/>
              <w:jc w:val="center"/>
              <w:rPr>
                <w:rFonts w:hint="default" w:ascii="Times New Roman" w:hAnsi="Times New Roman" w:cs="Times New Roman"/>
                <w:sz w:val="18"/>
                <w:szCs w:val="18"/>
              </w:rPr>
            </w:pPr>
            <w:r>
              <w:rPr>
                <w:rFonts w:hint="default" w:ascii="Times New Roman" w:hAnsi="Times New Roman" w:cs="Times New Roman"/>
                <w:sz w:val="18"/>
                <w:szCs w:val="18"/>
              </w:rPr>
              <w:t>变形监测</w:t>
            </w:r>
          </w:p>
        </w:tc>
        <w:tc>
          <w:tcPr>
            <w:tcW w:w="2126" w:type="dxa"/>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坝体表面垂直位移</w:t>
            </w:r>
          </w:p>
        </w:tc>
        <w:tc>
          <w:tcPr>
            <w:tcW w:w="851" w:type="dxa"/>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0" w:type="dxa"/>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2199" w:type="dxa"/>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10 次/月～1 次/月</w:t>
            </w:r>
          </w:p>
        </w:tc>
        <w:tc>
          <w:tcPr>
            <w:tcW w:w="1887" w:type="dxa"/>
            <w:tcBorders>
              <w:right w:val="single" w:color="000000" w:sz="4" w:space="0"/>
            </w:tcBorders>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6 次/年～2 次/年</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65" w:hRule="atLeast"/>
          <w:jc w:val="center"/>
        </w:trPr>
        <w:tc>
          <w:tcPr>
            <w:tcW w:w="1396" w:type="dxa"/>
            <w:vMerge w:val="continue"/>
            <w:tcBorders>
              <w:left w:val="single" w:color="000000" w:sz="4" w:space="0"/>
            </w:tcBorders>
            <w:vAlign w:val="center"/>
          </w:tcPr>
          <w:p>
            <w:pPr>
              <w:adjustRightInd w:val="0"/>
              <w:snapToGrid w:val="0"/>
              <w:ind w:left="113" w:right="113"/>
              <w:jc w:val="center"/>
              <w:rPr>
                <w:rFonts w:hint="default" w:ascii="Times New Roman" w:hAnsi="Times New Roman" w:cs="Times New Roman"/>
                <w:sz w:val="18"/>
                <w:szCs w:val="18"/>
              </w:rPr>
            </w:pPr>
          </w:p>
        </w:tc>
        <w:tc>
          <w:tcPr>
            <w:tcW w:w="2126" w:type="dxa"/>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坝体表面水平位移</w:t>
            </w:r>
          </w:p>
        </w:tc>
        <w:tc>
          <w:tcPr>
            <w:tcW w:w="851" w:type="dxa"/>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0" w:type="dxa"/>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2199" w:type="dxa"/>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10 次/月～1 次/月</w:t>
            </w:r>
          </w:p>
        </w:tc>
        <w:tc>
          <w:tcPr>
            <w:tcW w:w="1887" w:type="dxa"/>
            <w:tcBorders>
              <w:right w:val="single" w:color="000000" w:sz="4" w:space="0"/>
            </w:tcBorders>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6 次/年～2 次/年</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65" w:hRule="atLeast"/>
          <w:jc w:val="center"/>
        </w:trPr>
        <w:tc>
          <w:tcPr>
            <w:tcW w:w="1396" w:type="dxa"/>
            <w:vMerge w:val="continue"/>
            <w:tcBorders>
              <w:left w:val="single" w:color="000000" w:sz="4" w:space="0"/>
            </w:tcBorders>
            <w:vAlign w:val="center"/>
          </w:tcPr>
          <w:p>
            <w:pPr>
              <w:adjustRightInd w:val="0"/>
              <w:snapToGrid w:val="0"/>
              <w:jc w:val="center"/>
              <w:rPr>
                <w:rFonts w:hint="default" w:ascii="Times New Roman" w:hAnsi="Times New Roman" w:cs="Times New Roman"/>
                <w:sz w:val="18"/>
                <w:szCs w:val="18"/>
              </w:rPr>
            </w:pPr>
          </w:p>
        </w:tc>
        <w:tc>
          <w:tcPr>
            <w:tcW w:w="2126" w:type="dxa"/>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坝体内部位移</w:t>
            </w:r>
          </w:p>
        </w:tc>
        <w:tc>
          <w:tcPr>
            <w:tcW w:w="851" w:type="dxa"/>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0" w:type="dxa"/>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2199" w:type="dxa"/>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30 次/月～2 次/月</w:t>
            </w:r>
          </w:p>
        </w:tc>
        <w:tc>
          <w:tcPr>
            <w:tcW w:w="1887" w:type="dxa"/>
            <w:tcBorders>
              <w:right w:val="single" w:color="000000" w:sz="4" w:space="0"/>
            </w:tcBorders>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12 次/年～4 次/年</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65" w:hRule="atLeast"/>
          <w:jc w:val="center"/>
        </w:trPr>
        <w:tc>
          <w:tcPr>
            <w:tcW w:w="1396" w:type="dxa"/>
            <w:vMerge w:val="restart"/>
            <w:tcBorders>
              <w:left w:val="single" w:color="000000" w:sz="4" w:space="0"/>
            </w:tcBorders>
            <w:vAlign w:val="center"/>
          </w:tcPr>
          <w:p>
            <w:pPr>
              <w:adjustRightInd w:val="0"/>
              <w:snapToGrid w:val="0"/>
              <w:ind w:left="113" w:right="113"/>
              <w:jc w:val="center"/>
              <w:rPr>
                <w:rFonts w:hint="default" w:ascii="Times New Roman" w:hAnsi="Times New Roman" w:cs="Times New Roman"/>
                <w:sz w:val="18"/>
                <w:szCs w:val="18"/>
              </w:rPr>
            </w:pPr>
            <w:r>
              <w:rPr>
                <w:rFonts w:hint="default" w:ascii="Times New Roman" w:hAnsi="Times New Roman" w:cs="Times New Roman"/>
                <w:sz w:val="18"/>
                <w:szCs w:val="18"/>
              </w:rPr>
              <w:t>渗流监测</w:t>
            </w:r>
          </w:p>
        </w:tc>
        <w:tc>
          <w:tcPr>
            <w:tcW w:w="2126" w:type="dxa"/>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渗流量</w:t>
            </w:r>
          </w:p>
        </w:tc>
        <w:tc>
          <w:tcPr>
            <w:tcW w:w="851" w:type="dxa"/>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0" w:type="dxa"/>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2199" w:type="dxa"/>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30 次/月～3 次/月</w:t>
            </w:r>
          </w:p>
        </w:tc>
        <w:tc>
          <w:tcPr>
            <w:tcW w:w="1887" w:type="dxa"/>
            <w:tcBorders>
              <w:right w:val="single" w:color="000000" w:sz="4" w:space="0"/>
            </w:tcBorders>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4 次/月～1 次/月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65" w:hRule="atLeast"/>
          <w:jc w:val="center"/>
        </w:trPr>
        <w:tc>
          <w:tcPr>
            <w:tcW w:w="1396" w:type="dxa"/>
            <w:vMerge w:val="continue"/>
            <w:tcBorders>
              <w:left w:val="single" w:color="000000" w:sz="4" w:space="0"/>
            </w:tcBorders>
            <w:vAlign w:val="center"/>
          </w:tcPr>
          <w:p>
            <w:pPr>
              <w:adjustRightInd w:val="0"/>
              <w:snapToGrid w:val="0"/>
              <w:jc w:val="center"/>
              <w:rPr>
                <w:rFonts w:hint="default" w:ascii="Times New Roman" w:hAnsi="Times New Roman" w:cs="Times New Roman"/>
                <w:sz w:val="18"/>
                <w:szCs w:val="18"/>
              </w:rPr>
            </w:pPr>
          </w:p>
        </w:tc>
        <w:tc>
          <w:tcPr>
            <w:tcW w:w="2126" w:type="dxa"/>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坝基渗流压力</w:t>
            </w:r>
          </w:p>
        </w:tc>
        <w:tc>
          <w:tcPr>
            <w:tcW w:w="851" w:type="dxa"/>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0" w:type="dxa"/>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2199" w:type="dxa"/>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30 次/月～3 次/月</w:t>
            </w:r>
          </w:p>
        </w:tc>
        <w:tc>
          <w:tcPr>
            <w:tcW w:w="1887" w:type="dxa"/>
            <w:tcBorders>
              <w:right w:val="single" w:color="000000" w:sz="4" w:space="0"/>
            </w:tcBorders>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4 次/月～1 次/月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65" w:hRule="atLeast"/>
          <w:jc w:val="center"/>
        </w:trPr>
        <w:tc>
          <w:tcPr>
            <w:tcW w:w="1396" w:type="dxa"/>
            <w:vMerge w:val="continue"/>
            <w:tcBorders>
              <w:left w:val="single" w:color="000000" w:sz="4" w:space="0"/>
            </w:tcBorders>
            <w:vAlign w:val="center"/>
          </w:tcPr>
          <w:p>
            <w:pPr>
              <w:adjustRightInd w:val="0"/>
              <w:snapToGrid w:val="0"/>
              <w:jc w:val="center"/>
              <w:rPr>
                <w:rFonts w:hint="default" w:ascii="Times New Roman" w:hAnsi="Times New Roman" w:cs="Times New Roman"/>
                <w:sz w:val="18"/>
                <w:szCs w:val="18"/>
              </w:rPr>
            </w:pPr>
          </w:p>
        </w:tc>
        <w:tc>
          <w:tcPr>
            <w:tcW w:w="2126" w:type="dxa"/>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坝体渗流压力</w:t>
            </w:r>
          </w:p>
        </w:tc>
        <w:tc>
          <w:tcPr>
            <w:tcW w:w="851" w:type="dxa"/>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0" w:type="dxa"/>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2199" w:type="dxa"/>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30 次/月～3 次/月</w:t>
            </w:r>
          </w:p>
        </w:tc>
        <w:tc>
          <w:tcPr>
            <w:tcW w:w="1887" w:type="dxa"/>
            <w:tcBorders>
              <w:right w:val="single" w:color="000000" w:sz="4" w:space="0"/>
            </w:tcBorders>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4 次/月～1 次/月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65" w:hRule="atLeast"/>
          <w:jc w:val="center"/>
        </w:trPr>
        <w:tc>
          <w:tcPr>
            <w:tcW w:w="1396" w:type="dxa"/>
            <w:vMerge w:val="continue"/>
            <w:tcBorders>
              <w:left w:val="single" w:color="000000" w:sz="4" w:space="0"/>
            </w:tcBorders>
            <w:vAlign w:val="center"/>
          </w:tcPr>
          <w:p>
            <w:pPr>
              <w:adjustRightInd w:val="0"/>
              <w:snapToGrid w:val="0"/>
              <w:jc w:val="center"/>
              <w:rPr>
                <w:rFonts w:hint="default" w:ascii="Times New Roman" w:hAnsi="Times New Roman" w:cs="Times New Roman"/>
                <w:sz w:val="18"/>
                <w:szCs w:val="18"/>
              </w:rPr>
            </w:pPr>
          </w:p>
        </w:tc>
        <w:tc>
          <w:tcPr>
            <w:tcW w:w="2126" w:type="dxa"/>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绕坝渗流</w:t>
            </w:r>
          </w:p>
        </w:tc>
        <w:tc>
          <w:tcPr>
            <w:tcW w:w="851" w:type="dxa"/>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0" w:type="dxa"/>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2199" w:type="dxa"/>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30 次/月～3 次/月</w:t>
            </w:r>
          </w:p>
        </w:tc>
        <w:tc>
          <w:tcPr>
            <w:tcW w:w="1887" w:type="dxa"/>
            <w:tcBorders>
              <w:right w:val="single" w:color="000000" w:sz="4" w:space="0"/>
            </w:tcBorders>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4 次/月～1 次/月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65" w:hRule="atLeast"/>
          <w:jc w:val="center"/>
        </w:trPr>
        <w:tc>
          <w:tcPr>
            <w:tcW w:w="9309" w:type="dxa"/>
            <w:gridSpan w:val="6"/>
            <w:tcBorders>
              <w:left w:val="single" w:color="000000" w:sz="4" w:space="0"/>
              <w:bottom w:val="single" w:color="000000" w:sz="4" w:space="0"/>
              <w:right w:val="single" w:color="000000" w:sz="4" w:space="0"/>
            </w:tcBorders>
            <w:vAlign w:val="center"/>
          </w:tcPr>
          <w:p>
            <w:pPr>
              <w:numPr>
                <w:ilvl w:val="0"/>
                <w:numId w:val="50"/>
              </w:numPr>
              <w:autoSpaceDE w:val="0"/>
              <w:autoSpaceDN w:val="0"/>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★为必设项目；☆为一般项目，可根据需要选设。 </w:t>
            </w:r>
          </w:p>
        </w:tc>
      </w:tr>
    </w:tbl>
    <w:p>
      <w:pPr>
        <w:widowControl/>
        <w:spacing w:beforeLines="50" w:afterLines="50"/>
        <w:jc w:val="center"/>
        <w:outlineLvl w:val="2"/>
        <w:rPr>
          <w:rFonts w:hint="default" w:ascii="Times New Roman" w:hAnsi="Times New Roman" w:eastAsia="黑体" w:cs="Times New Roman"/>
          <w:kern w:val="0"/>
        </w:rPr>
      </w:pPr>
      <w:bookmarkStart w:id="362" w:name="_Toc441938511"/>
      <w:bookmarkStart w:id="363" w:name="_Toc438493224"/>
      <w:bookmarkStart w:id="364" w:name="_Toc438490732"/>
      <w:bookmarkStart w:id="365" w:name="_Toc443550029"/>
      <w:bookmarkStart w:id="366" w:name="_Toc438485299"/>
      <w:bookmarkStart w:id="367" w:name="_Toc491871082"/>
      <w:bookmarkStart w:id="368" w:name="_Toc526084834"/>
      <w:r>
        <w:rPr>
          <w:rFonts w:hint="default" w:ascii="Times New Roman" w:hAnsi="Times New Roman" w:eastAsia="黑体" w:cs="Times New Roman"/>
          <w:kern w:val="0"/>
        </w:rPr>
        <w:br w:type="page"/>
      </w:r>
      <w:bookmarkStart w:id="369" w:name="_Toc157087573"/>
      <w:bookmarkStart w:id="370" w:name="_Toc157087733"/>
      <w:bookmarkStart w:id="371" w:name="_Toc159919359"/>
      <w:bookmarkStart w:id="372" w:name="_Toc159919881"/>
      <w:bookmarkStart w:id="373" w:name="_Toc533756505"/>
      <w:bookmarkStart w:id="374" w:name="_Toc533756548"/>
      <w:bookmarkStart w:id="375" w:name="_Toc163461502"/>
      <w:bookmarkStart w:id="376" w:name="_Toc149559780"/>
      <w:bookmarkStart w:id="377" w:name="_Toc28114"/>
      <w:bookmarkStart w:id="378" w:name="_Toc161410802"/>
      <w:bookmarkStart w:id="379" w:name="_Toc152685371"/>
      <w:bookmarkStart w:id="380" w:name="_Toc163465946"/>
      <w:bookmarkStart w:id="381" w:name="_Toc152683792"/>
      <w:r>
        <w:rPr>
          <w:rFonts w:hint="default" w:ascii="Times New Roman" w:hAnsi="Times New Roman" w:eastAsia="黑体" w:cs="Times New Roman"/>
          <w:kern w:val="0"/>
        </w:rPr>
        <w:t>表F.2 混凝土坝安全监测项目及观测频次</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tbl>
      <w:tblPr>
        <w:tblStyle w:val="45"/>
        <w:tblW w:w="9320"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401"/>
        <w:gridCol w:w="1984"/>
        <w:gridCol w:w="851"/>
        <w:gridCol w:w="850"/>
        <w:gridCol w:w="2372"/>
        <w:gridCol w:w="1862"/>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70" w:hRule="atLeast"/>
          <w:jc w:val="center"/>
        </w:trPr>
        <w:tc>
          <w:tcPr>
            <w:tcW w:w="3385" w:type="dxa"/>
            <w:gridSpan w:val="2"/>
            <w:vMerge w:val="restart"/>
            <w:tcBorders>
              <w:top w:val="single" w:color="000000" w:sz="4" w:space="0"/>
              <w:left w:val="single" w:color="000000" w:sz="4" w:space="0"/>
            </w:tcBorders>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观测项目</w:t>
            </w:r>
          </w:p>
        </w:tc>
        <w:tc>
          <w:tcPr>
            <w:tcW w:w="1701" w:type="dxa"/>
            <w:gridSpan w:val="2"/>
            <w:tcBorders>
              <w:top w:val="single" w:color="000000" w:sz="4" w:space="0"/>
            </w:tcBorders>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建筑物级别</w:t>
            </w:r>
          </w:p>
        </w:tc>
        <w:tc>
          <w:tcPr>
            <w:tcW w:w="4234" w:type="dxa"/>
            <w:gridSpan w:val="2"/>
            <w:tcBorders>
              <w:top w:val="single" w:color="000000" w:sz="4" w:space="0"/>
              <w:right w:val="single" w:color="000000" w:sz="4" w:space="0"/>
            </w:tcBorders>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监测频次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70" w:hRule="atLeast"/>
          <w:jc w:val="center"/>
        </w:trPr>
        <w:tc>
          <w:tcPr>
            <w:tcW w:w="3385" w:type="dxa"/>
            <w:gridSpan w:val="2"/>
            <w:vMerge w:val="continue"/>
            <w:tcBorders>
              <w:left w:val="single" w:color="000000" w:sz="4" w:space="0"/>
            </w:tcBorders>
            <w:vAlign w:val="center"/>
          </w:tcPr>
          <w:p>
            <w:pPr>
              <w:adjustRightInd w:val="0"/>
              <w:snapToGrid w:val="0"/>
              <w:jc w:val="center"/>
              <w:rPr>
                <w:rFonts w:hint="default" w:ascii="Times New Roman" w:hAnsi="Times New Roman" w:cs="Times New Roman"/>
                <w:sz w:val="18"/>
                <w:szCs w:val="18"/>
              </w:rPr>
            </w:pPr>
          </w:p>
        </w:tc>
        <w:tc>
          <w:tcPr>
            <w:tcW w:w="851" w:type="dxa"/>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4</w:t>
            </w:r>
          </w:p>
        </w:tc>
        <w:tc>
          <w:tcPr>
            <w:tcW w:w="850" w:type="dxa"/>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5</w:t>
            </w:r>
          </w:p>
        </w:tc>
        <w:tc>
          <w:tcPr>
            <w:tcW w:w="2372" w:type="dxa"/>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初蓄期</w:t>
            </w:r>
          </w:p>
        </w:tc>
        <w:tc>
          <w:tcPr>
            <w:tcW w:w="1862" w:type="dxa"/>
            <w:tcBorders>
              <w:right w:val="single" w:color="000000" w:sz="4" w:space="0"/>
            </w:tcBorders>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运行期</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70" w:hRule="atLeast"/>
          <w:jc w:val="center"/>
        </w:trPr>
        <w:tc>
          <w:tcPr>
            <w:tcW w:w="1401" w:type="dxa"/>
            <w:vMerge w:val="restart"/>
            <w:tcBorders>
              <w:left w:val="single" w:color="000000" w:sz="4" w:space="0"/>
            </w:tcBorders>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环境量监测</w:t>
            </w:r>
          </w:p>
        </w:tc>
        <w:tc>
          <w:tcPr>
            <w:tcW w:w="1984" w:type="dxa"/>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上、下游水位</w:t>
            </w:r>
          </w:p>
        </w:tc>
        <w:tc>
          <w:tcPr>
            <w:tcW w:w="851" w:type="dxa"/>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0" w:type="dxa"/>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2372" w:type="dxa"/>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4 次/天～2 次/天</w:t>
            </w:r>
          </w:p>
        </w:tc>
        <w:tc>
          <w:tcPr>
            <w:tcW w:w="1862" w:type="dxa"/>
            <w:tcBorders>
              <w:right w:val="single" w:color="000000" w:sz="4" w:space="0"/>
            </w:tcBorders>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2 次/天～1 次/天</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70" w:hRule="atLeast"/>
          <w:jc w:val="center"/>
        </w:trPr>
        <w:tc>
          <w:tcPr>
            <w:tcW w:w="1401" w:type="dxa"/>
            <w:vMerge w:val="continue"/>
            <w:tcBorders>
              <w:left w:val="single" w:color="000000" w:sz="4" w:space="0"/>
            </w:tcBorders>
            <w:vAlign w:val="center"/>
          </w:tcPr>
          <w:p>
            <w:pPr>
              <w:adjustRightInd w:val="0"/>
              <w:snapToGrid w:val="0"/>
              <w:jc w:val="center"/>
              <w:rPr>
                <w:rFonts w:hint="default" w:ascii="Times New Roman" w:hAnsi="Times New Roman" w:cs="Times New Roman"/>
                <w:sz w:val="18"/>
                <w:szCs w:val="18"/>
              </w:rPr>
            </w:pPr>
          </w:p>
        </w:tc>
        <w:tc>
          <w:tcPr>
            <w:tcW w:w="1984" w:type="dxa"/>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溢流水深</w:t>
            </w:r>
          </w:p>
        </w:tc>
        <w:tc>
          <w:tcPr>
            <w:tcW w:w="851" w:type="dxa"/>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0" w:type="dxa"/>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2372" w:type="dxa"/>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4 次/天～2 次/天</w:t>
            </w:r>
          </w:p>
        </w:tc>
        <w:tc>
          <w:tcPr>
            <w:tcW w:w="1862" w:type="dxa"/>
            <w:tcBorders>
              <w:right w:val="single" w:color="000000" w:sz="4" w:space="0"/>
            </w:tcBorders>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2次/天～1 次/天</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70" w:hRule="atLeast"/>
          <w:jc w:val="center"/>
        </w:trPr>
        <w:tc>
          <w:tcPr>
            <w:tcW w:w="1401" w:type="dxa"/>
            <w:vMerge w:val="continue"/>
            <w:tcBorders>
              <w:left w:val="single" w:color="000000" w:sz="4" w:space="0"/>
            </w:tcBorders>
            <w:vAlign w:val="center"/>
          </w:tcPr>
          <w:p>
            <w:pPr>
              <w:adjustRightInd w:val="0"/>
              <w:snapToGrid w:val="0"/>
              <w:jc w:val="center"/>
              <w:rPr>
                <w:rFonts w:hint="default" w:ascii="Times New Roman" w:hAnsi="Times New Roman" w:cs="Times New Roman"/>
                <w:sz w:val="18"/>
                <w:szCs w:val="18"/>
              </w:rPr>
            </w:pPr>
          </w:p>
        </w:tc>
        <w:tc>
          <w:tcPr>
            <w:tcW w:w="1984" w:type="dxa"/>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降雨、气温</w:t>
            </w:r>
          </w:p>
        </w:tc>
        <w:tc>
          <w:tcPr>
            <w:tcW w:w="851" w:type="dxa"/>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0" w:type="dxa"/>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2372" w:type="dxa"/>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逐日</w:t>
            </w:r>
          </w:p>
        </w:tc>
        <w:tc>
          <w:tcPr>
            <w:tcW w:w="1862" w:type="dxa"/>
            <w:tcBorders>
              <w:right w:val="single" w:color="000000" w:sz="4" w:space="0"/>
            </w:tcBorders>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逐日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78" w:hRule="atLeast"/>
          <w:jc w:val="center"/>
        </w:trPr>
        <w:tc>
          <w:tcPr>
            <w:tcW w:w="1401" w:type="dxa"/>
            <w:vMerge w:val="restart"/>
            <w:tcBorders>
              <w:left w:val="single" w:color="000000" w:sz="4" w:space="0"/>
            </w:tcBorders>
            <w:vAlign w:val="center"/>
          </w:tcPr>
          <w:p>
            <w:pPr>
              <w:adjustRightInd w:val="0"/>
              <w:snapToGrid w:val="0"/>
              <w:ind w:left="113" w:right="113"/>
              <w:jc w:val="center"/>
              <w:rPr>
                <w:rFonts w:hint="default" w:ascii="Times New Roman" w:hAnsi="Times New Roman" w:cs="Times New Roman"/>
                <w:sz w:val="18"/>
                <w:szCs w:val="18"/>
              </w:rPr>
            </w:pPr>
            <w:r>
              <w:rPr>
                <w:rFonts w:hint="default" w:ascii="Times New Roman" w:hAnsi="Times New Roman" w:cs="Times New Roman"/>
                <w:sz w:val="18"/>
                <w:szCs w:val="18"/>
              </w:rPr>
              <w:t>变形</w:t>
            </w:r>
          </w:p>
        </w:tc>
        <w:tc>
          <w:tcPr>
            <w:tcW w:w="1984" w:type="dxa"/>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坝体表面位移</w:t>
            </w:r>
          </w:p>
        </w:tc>
        <w:tc>
          <w:tcPr>
            <w:tcW w:w="851" w:type="dxa"/>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0" w:type="dxa"/>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2372" w:type="dxa"/>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7 次/周～2 次/周</w:t>
            </w:r>
          </w:p>
        </w:tc>
        <w:tc>
          <w:tcPr>
            <w:tcW w:w="1862" w:type="dxa"/>
            <w:tcBorders>
              <w:right w:val="single" w:color="000000" w:sz="4" w:space="0"/>
            </w:tcBorders>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4 次/月～1 次/月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89" w:hRule="atLeast"/>
          <w:jc w:val="center"/>
        </w:trPr>
        <w:tc>
          <w:tcPr>
            <w:tcW w:w="1401" w:type="dxa"/>
            <w:vMerge w:val="continue"/>
            <w:tcBorders>
              <w:left w:val="single" w:color="000000" w:sz="4" w:space="0"/>
            </w:tcBorders>
            <w:vAlign w:val="center"/>
          </w:tcPr>
          <w:p>
            <w:pPr>
              <w:adjustRightInd w:val="0"/>
              <w:snapToGrid w:val="0"/>
              <w:jc w:val="center"/>
              <w:rPr>
                <w:rFonts w:hint="default" w:ascii="Times New Roman" w:hAnsi="Times New Roman" w:cs="Times New Roman"/>
                <w:sz w:val="18"/>
                <w:szCs w:val="18"/>
              </w:rPr>
            </w:pPr>
          </w:p>
        </w:tc>
        <w:tc>
          <w:tcPr>
            <w:tcW w:w="1984" w:type="dxa"/>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坝体内部位移</w:t>
            </w:r>
          </w:p>
        </w:tc>
        <w:tc>
          <w:tcPr>
            <w:tcW w:w="851" w:type="dxa"/>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0" w:type="dxa"/>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2372" w:type="dxa"/>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7 次/周～2次/周</w:t>
            </w:r>
          </w:p>
        </w:tc>
        <w:tc>
          <w:tcPr>
            <w:tcW w:w="1862" w:type="dxa"/>
            <w:tcBorders>
              <w:right w:val="single" w:color="000000" w:sz="4" w:space="0"/>
            </w:tcBorders>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4 次/月～1 次/月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89" w:hRule="atLeast"/>
          <w:jc w:val="center"/>
        </w:trPr>
        <w:tc>
          <w:tcPr>
            <w:tcW w:w="1401" w:type="dxa"/>
            <w:vMerge w:val="continue"/>
            <w:tcBorders>
              <w:left w:val="single" w:color="000000" w:sz="4" w:space="0"/>
            </w:tcBorders>
            <w:vAlign w:val="center"/>
          </w:tcPr>
          <w:p>
            <w:pPr>
              <w:adjustRightInd w:val="0"/>
              <w:snapToGrid w:val="0"/>
              <w:jc w:val="center"/>
              <w:rPr>
                <w:rFonts w:hint="default" w:ascii="Times New Roman" w:hAnsi="Times New Roman" w:cs="Times New Roman"/>
                <w:sz w:val="18"/>
                <w:szCs w:val="18"/>
              </w:rPr>
            </w:pPr>
          </w:p>
        </w:tc>
        <w:tc>
          <w:tcPr>
            <w:tcW w:w="1984" w:type="dxa"/>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坝基位移</w:t>
            </w:r>
          </w:p>
        </w:tc>
        <w:tc>
          <w:tcPr>
            <w:tcW w:w="851" w:type="dxa"/>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0" w:type="dxa"/>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2372" w:type="dxa"/>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7 次/周～2次/周</w:t>
            </w:r>
          </w:p>
        </w:tc>
        <w:tc>
          <w:tcPr>
            <w:tcW w:w="1862" w:type="dxa"/>
            <w:tcBorders>
              <w:right w:val="single" w:color="000000" w:sz="4" w:space="0"/>
            </w:tcBorders>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4 次/月～1 次/月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89" w:hRule="atLeast"/>
          <w:jc w:val="center"/>
        </w:trPr>
        <w:tc>
          <w:tcPr>
            <w:tcW w:w="1401" w:type="dxa"/>
            <w:vMerge w:val="continue"/>
            <w:tcBorders>
              <w:left w:val="single" w:color="000000" w:sz="4" w:space="0"/>
            </w:tcBorders>
            <w:vAlign w:val="center"/>
          </w:tcPr>
          <w:p>
            <w:pPr>
              <w:adjustRightInd w:val="0"/>
              <w:snapToGrid w:val="0"/>
              <w:jc w:val="center"/>
              <w:rPr>
                <w:rFonts w:hint="default" w:ascii="Times New Roman" w:hAnsi="Times New Roman" w:cs="Times New Roman"/>
                <w:sz w:val="18"/>
                <w:szCs w:val="18"/>
              </w:rPr>
            </w:pPr>
          </w:p>
        </w:tc>
        <w:tc>
          <w:tcPr>
            <w:tcW w:w="1984" w:type="dxa"/>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接缝、裂缝变化</w:t>
            </w:r>
          </w:p>
        </w:tc>
        <w:tc>
          <w:tcPr>
            <w:tcW w:w="851" w:type="dxa"/>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0" w:type="dxa"/>
            <w:vAlign w:val="center"/>
          </w:tcPr>
          <w:p>
            <w:pPr>
              <w:adjustRightInd w:val="0"/>
              <w:snapToGrid w:val="0"/>
              <w:jc w:val="center"/>
              <w:rPr>
                <w:rFonts w:hint="default" w:ascii="Times New Roman" w:hAnsi="Times New Roman" w:cs="Times New Roman"/>
                <w:sz w:val="18"/>
                <w:szCs w:val="18"/>
              </w:rPr>
            </w:pPr>
          </w:p>
        </w:tc>
        <w:tc>
          <w:tcPr>
            <w:tcW w:w="2372" w:type="dxa"/>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7 次/周～2次/周</w:t>
            </w:r>
          </w:p>
        </w:tc>
        <w:tc>
          <w:tcPr>
            <w:tcW w:w="1862" w:type="dxa"/>
            <w:tcBorders>
              <w:right w:val="single" w:color="000000" w:sz="4" w:space="0"/>
            </w:tcBorders>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4 次/月～1 次/月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89" w:hRule="atLeast"/>
          <w:jc w:val="center"/>
        </w:trPr>
        <w:tc>
          <w:tcPr>
            <w:tcW w:w="1401" w:type="dxa"/>
            <w:vMerge w:val="restart"/>
            <w:tcBorders>
              <w:left w:val="single" w:color="000000" w:sz="4" w:space="0"/>
            </w:tcBorders>
            <w:vAlign w:val="center"/>
          </w:tcPr>
          <w:p>
            <w:pPr>
              <w:adjustRightInd w:val="0"/>
              <w:snapToGrid w:val="0"/>
              <w:ind w:left="113" w:right="113"/>
              <w:jc w:val="center"/>
              <w:rPr>
                <w:rFonts w:hint="default" w:ascii="Times New Roman" w:hAnsi="Times New Roman" w:cs="Times New Roman"/>
                <w:sz w:val="18"/>
                <w:szCs w:val="18"/>
              </w:rPr>
            </w:pPr>
            <w:r>
              <w:rPr>
                <w:rFonts w:hint="default" w:ascii="Times New Roman" w:hAnsi="Times New Roman" w:cs="Times New Roman"/>
                <w:sz w:val="18"/>
                <w:szCs w:val="18"/>
              </w:rPr>
              <w:t>渗流</w:t>
            </w:r>
          </w:p>
        </w:tc>
        <w:tc>
          <w:tcPr>
            <w:tcW w:w="1984" w:type="dxa"/>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渗流量</w:t>
            </w:r>
          </w:p>
        </w:tc>
        <w:tc>
          <w:tcPr>
            <w:tcW w:w="851" w:type="dxa"/>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0" w:type="dxa"/>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2372" w:type="dxa"/>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1 次/周</w:t>
            </w:r>
          </w:p>
        </w:tc>
        <w:tc>
          <w:tcPr>
            <w:tcW w:w="1862" w:type="dxa"/>
            <w:tcBorders>
              <w:right w:val="single" w:color="000000" w:sz="4" w:space="0"/>
            </w:tcBorders>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4 次/月～2 次/月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89" w:hRule="atLeast"/>
          <w:jc w:val="center"/>
        </w:trPr>
        <w:tc>
          <w:tcPr>
            <w:tcW w:w="1401" w:type="dxa"/>
            <w:vMerge w:val="continue"/>
            <w:tcBorders>
              <w:left w:val="single" w:color="000000" w:sz="4" w:space="0"/>
            </w:tcBorders>
            <w:vAlign w:val="center"/>
          </w:tcPr>
          <w:p>
            <w:pPr>
              <w:adjustRightInd w:val="0"/>
              <w:snapToGrid w:val="0"/>
              <w:jc w:val="center"/>
              <w:rPr>
                <w:rFonts w:hint="default" w:ascii="Times New Roman" w:hAnsi="Times New Roman" w:cs="Times New Roman"/>
                <w:sz w:val="18"/>
                <w:szCs w:val="18"/>
              </w:rPr>
            </w:pPr>
          </w:p>
        </w:tc>
        <w:tc>
          <w:tcPr>
            <w:tcW w:w="1984" w:type="dxa"/>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扬压力</w:t>
            </w:r>
          </w:p>
        </w:tc>
        <w:tc>
          <w:tcPr>
            <w:tcW w:w="851" w:type="dxa"/>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0" w:type="dxa"/>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2372" w:type="dxa"/>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1 次/周</w:t>
            </w:r>
          </w:p>
        </w:tc>
        <w:tc>
          <w:tcPr>
            <w:tcW w:w="1862" w:type="dxa"/>
            <w:tcBorders>
              <w:right w:val="single" w:color="000000" w:sz="4" w:space="0"/>
            </w:tcBorders>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4 次/月～2 次/月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89" w:hRule="atLeast"/>
          <w:jc w:val="center"/>
        </w:trPr>
        <w:tc>
          <w:tcPr>
            <w:tcW w:w="1401" w:type="dxa"/>
            <w:vMerge w:val="continue"/>
            <w:tcBorders>
              <w:left w:val="single" w:color="000000" w:sz="4" w:space="0"/>
            </w:tcBorders>
            <w:vAlign w:val="center"/>
          </w:tcPr>
          <w:p>
            <w:pPr>
              <w:adjustRightInd w:val="0"/>
              <w:snapToGrid w:val="0"/>
              <w:jc w:val="center"/>
              <w:rPr>
                <w:rFonts w:hint="default" w:ascii="Times New Roman" w:hAnsi="Times New Roman" w:cs="Times New Roman"/>
                <w:sz w:val="18"/>
                <w:szCs w:val="18"/>
              </w:rPr>
            </w:pPr>
          </w:p>
        </w:tc>
        <w:tc>
          <w:tcPr>
            <w:tcW w:w="1984" w:type="dxa"/>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坝体渗流压力</w:t>
            </w:r>
          </w:p>
        </w:tc>
        <w:tc>
          <w:tcPr>
            <w:tcW w:w="851" w:type="dxa"/>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0" w:type="dxa"/>
            <w:vAlign w:val="center"/>
          </w:tcPr>
          <w:p>
            <w:pPr>
              <w:adjustRightInd w:val="0"/>
              <w:snapToGrid w:val="0"/>
              <w:jc w:val="center"/>
              <w:rPr>
                <w:rFonts w:hint="default" w:ascii="Times New Roman" w:hAnsi="Times New Roman" w:cs="Times New Roman"/>
                <w:sz w:val="18"/>
                <w:szCs w:val="18"/>
              </w:rPr>
            </w:pPr>
          </w:p>
        </w:tc>
        <w:tc>
          <w:tcPr>
            <w:tcW w:w="2372" w:type="dxa"/>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1 次/周</w:t>
            </w:r>
          </w:p>
        </w:tc>
        <w:tc>
          <w:tcPr>
            <w:tcW w:w="1862" w:type="dxa"/>
            <w:tcBorders>
              <w:right w:val="single" w:color="000000" w:sz="4" w:space="0"/>
            </w:tcBorders>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4 次/月～2 次/月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89" w:hRule="atLeast"/>
          <w:jc w:val="center"/>
        </w:trPr>
        <w:tc>
          <w:tcPr>
            <w:tcW w:w="1401" w:type="dxa"/>
            <w:vMerge w:val="continue"/>
            <w:tcBorders>
              <w:left w:val="single" w:color="000000" w:sz="4" w:space="0"/>
            </w:tcBorders>
            <w:vAlign w:val="center"/>
          </w:tcPr>
          <w:p>
            <w:pPr>
              <w:adjustRightInd w:val="0"/>
              <w:snapToGrid w:val="0"/>
              <w:jc w:val="center"/>
              <w:rPr>
                <w:rFonts w:hint="default" w:ascii="Times New Roman" w:hAnsi="Times New Roman" w:cs="Times New Roman"/>
                <w:sz w:val="18"/>
                <w:szCs w:val="18"/>
              </w:rPr>
            </w:pPr>
          </w:p>
        </w:tc>
        <w:tc>
          <w:tcPr>
            <w:tcW w:w="1984" w:type="dxa"/>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绕坝渗流</w:t>
            </w:r>
          </w:p>
        </w:tc>
        <w:tc>
          <w:tcPr>
            <w:tcW w:w="851" w:type="dxa"/>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0" w:type="dxa"/>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2372" w:type="dxa"/>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7 次/周～1 次/周</w:t>
            </w:r>
          </w:p>
        </w:tc>
        <w:tc>
          <w:tcPr>
            <w:tcW w:w="1862" w:type="dxa"/>
            <w:tcBorders>
              <w:right w:val="single" w:color="000000" w:sz="4" w:space="0"/>
            </w:tcBorders>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4 次/月～1 次/月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89" w:hRule="atLeast"/>
          <w:jc w:val="center"/>
        </w:trPr>
        <w:tc>
          <w:tcPr>
            <w:tcW w:w="9320" w:type="dxa"/>
            <w:gridSpan w:val="6"/>
            <w:tcBorders>
              <w:left w:val="single" w:color="000000" w:sz="4" w:space="0"/>
              <w:bottom w:val="single" w:color="000000" w:sz="4" w:space="0"/>
              <w:right w:val="single" w:color="000000" w:sz="4" w:space="0"/>
            </w:tcBorders>
            <w:vAlign w:val="center"/>
          </w:tcPr>
          <w:p>
            <w:pPr>
              <w:numPr>
                <w:ilvl w:val="0"/>
                <w:numId w:val="51"/>
              </w:numPr>
              <w:autoSpaceDE w:val="0"/>
              <w:autoSpaceDN w:val="0"/>
              <w:rPr>
                <w:rFonts w:hint="default" w:ascii="Times New Roman" w:hAnsi="Times New Roman" w:cs="Times New Roman"/>
                <w:kern w:val="0"/>
                <w:sz w:val="18"/>
                <w:szCs w:val="18"/>
              </w:rPr>
            </w:pPr>
            <w:r>
              <w:rPr>
                <w:rFonts w:hint="default" w:ascii="Times New Roman" w:hAnsi="Times New Roman" w:cs="Times New Roman"/>
                <w:kern w:val="0"/>
                <w:sz w:val="18"/>
                <w:szCs w:val="18"/>
              </w:rPr>
              <w:t xml:space="preserve">★为必设项目；☆为一般项目，可根据需要选设。 </w:t>
            </w:r>
          </w:p>
        </w:tc>
      </w:tr>
    </w:tbl>
    <w:p>
      <w:pPr>
        <w:pStyle w:val="34"/>
        <w:rPr>
          <w:rFonts w:hint="default" w:ascii="Times New Roman" w:hAnsi="Times New Roman" w:cs="Times New Roman"/>
        </w:rPr>
      </w:pPr>
      <w:bookmarkStart w:id="382" w:name="_Toc148882877"/>
      <w:bookmarkEnd w:id="382"/>
      <w:bookmarkStart w:id="383" w:name="_Toc148882832"/>
      <w:bookmarkEnd w:id="383"/>
      <w:bookmarkStart w:id="384" w:name="_Toc148882833"/>
      <w:bookmarkEnd w:id="384"/>
      <w:bookmarkStart w:id="385" w:name="_Toc148882835"/>
      <w:bookmarkEnd w:id="385"/>
      <w:bookmarkStart w:id="386" w:name="_Toc148882834"/>
      <w:bookmarkEnd w:id="386"/>
      <w:bookmarkStart w:id="387" w:name="_Toc148882836"/>
      <w:bookmarkEnd w:id="387"/>
    </w:p>
    <w:p>
      <w:pPr>
        <w:pStyle w:val="34"/>
        <w:rPr>
          <w:rFonts w:hint="default" w:ascii="Times New Roman" w:hAnsi="Times New Roman" w:cs="Times New Roman"/>
        </w:rPr>
        <w:sectPr>
          <w:pgSz w:w="11906" w:h="16838"/>
          <w:pgMar w:top="1134" w:right="1134" w:bottom="1134" w:left="1418" w:header="1134" w:footer="1134" w:gutter="0"/>
          <w:cols w:space="425" w:num="1"/>
          <w:formProt w:val="0"/>
          <w:docGrid w:type="lines" w:linePitch="312" w:charSpace="0"/>
        </w:sectPr>
      </w:pPr>
    </w:p>
    <w:p>
      <w:pPr>
        <w:pStyle w:val="203"/>
        <w:spacing w:before="78" w:after="156"/>
        <w:rPr>
          <w:rFonts w:hint="default" w:ascii="Times New Roman" w:hAnsi="Times New Roman" w:cs="Times New Roman"/>
        </w:rPr>
      </w:pPr>
      <w:bookmarkStart w:id="388" w:name="_Toc163465947"/>
      <w:r>
        <w:rPr>
          <w:rFonts w:hint="default" w:ascii="Times New Roman" w:hAnsi="Times New Roman" w:cs="Times New Roman"/>
        </w:rPr>
        <w:t>附录G</w:t>
      </w:r>
      <w:r>
        <w:rPr>
          <w:rFonts w:hint="default" w:ascii="Times New Roman" w:hAnsi="Times New Roman" w:cs="Times New Roman"/>
        </w:rPr>
        <w:br w:type="textWrapping"/>
      </w:r>
      <w:r>
        <w:rPr>
          <w:rFonts w:hint="default" w:ascii="Times New Roman" w:hAnsi="Times New Roman" w:cs="Times New Roman"/>
        </w:rPr>
        <w:t>（资料性附录）</w:t>
      </w:r>
      <w:r>
        <w:rPr>
          <w:rFonts w:hint="default" w:ascii="Times New Roman" w:hAnsi="Times New Roman" w:cs="Times New Roman"/>
        </w:rPr>
        <w:br w:type="textWrapping"/>
      </w:r>
      <w:r>
        <w:rPr>
          <w:rFonts w:hint="default" w:ascii="Times New Roman" w:hAnsi="Times New Roman" w:cs="Times New Roman"/>
        </w:rPr>
        <w:t>泄洪操作记录</w:t>
      </w:r>
      <w:bookmarkEnd w:id="388"/>
    </w:p>
    <w:p>
      <w:pPr>
        <w:widowControl/>
        <w:tabs>
          <w:tab w:val="center" w:pos="4201"/>
          <w:tab w:val="right" w:leader="dot" w:pos="9298"/>
        </w:tabs>
        <w:autoSpaceDE w:val="0"/>
        <w:autoSpaceDN w:val="0"/>
        <w:ind w:firstLine="420" w:firstLineChars="200"/>
        <w:rPr>
          <w:rFonts w:hint="default" w:ascii="Times New Roman" w:hAnsi="Times New Roman" w:cs="Times New Roman"/>
          <w:kern w:val="0"/>
        </w:rPr>
      </w:pPr>
      <w:r>
        <w:rPr>
          <w:rFonts w:hint="default" w:ascii="Times New Roman" w:hAnsi="Times New Roman" w:cs="Times New Roman"/>
          <w:kern w:val="0"/>
        </w:rPr>
        <w:t>表G.1给出了泄洪闸门启（闭）操作单。</w:t>
      </w:r>
    </w:p>
    <w:p>
      <w:pPr>
        <w:widowControl/>
        <w:spacing w:beforeLines="50" w:afterLines="50"/>
        <w:jc w:val="center"/>
        <w:outlineLvl w:val="2"/>
        <w:rPr>
          <w:rFonts w:hint="default" w:ascii="Times New Roman" w:hAnsi="Times New Roman" w:eastAsia="黑体" w:cs="Times New Roman"/>
          <w:kern w:val="0"/>
        </w:rPr>
      </w:pPr>
      <w:bookmarkStart w:id="389" w:name="_Toc157087735"/>
      <w:bookmarkStart w:id="390" w:name="_Toc163461504"/>
      <w:bookmarkStart w:id="391" w:name="_Toc159919883"/>
      <w:bookmarkStart w:id="392" w:name="_Toc163465948"/>
      <w:bookmarkStart w:id="393" w:name="_Toc159919361"/>
      <w:bookmarkStart w:id="394" w:name="_Toc161410804"/>
      <w:r>
        <w:rPr>
          <w:rFonts w:hint="default" w:ascii="Times New Roman" w:hAnsi="Times New Roman" w:eastAsia="黑体" w:cs="Times New Roman"/>
          <w:kern w:val="0"/>
        </w:rPr>
        <w:t>表G.1 泄洪闸门启（闭）操作</w:t>
      </w:r>
      <w:bookmarkEnd w:id="389"/>
      <w:r>
        <w:rPr>
          <w:rFonts w:hint="default" w:ascii="Times New Roman" w:hAnsi="Times New Roman" w:eastAsia="黑体" w:cs="Times New Roman"/>
          <w:kern w:val="0"/>
        </w:rPr>
        <w:t>单</w:t>
      </w:r>
      <w:bookmarkEnd w:id="390"/>
      <w:bookmarkEnd w:id="391"/>
      <w:bookmarkEnd w:id="392"/>
      <w:bookmarkEnd w:id="393"/>
      <w:bookmarkEnd w:id="394"/>
    </w:p>
    <w:tbl>
      <w:tblPr>
        <w:tblStyle w:val="45"/>
        <w:tblW w:w="90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9"/>
        <w:gridCol w:w="2332"/>
        <w:gridCol w:w="1134"/>
        <w:gridCol w:w="283"/>
        <w:gridCol w:w="17"/>
        <w:gridCol w:w="1117"/>
        <w:gridCol w:w="426"/>
        <w:gridCol w:w="2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349" w:type="dxa"/>
            <w:vMerge w:val="restart"/>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操作指令</w:t>
            </w:r>
          </w:p>
        </w:tc>
        <w:tc>
          <w:tcPr>
            <w:tcW w:w="3749" w:type="dxa"/>
            <w:gridSpan w:val="3"/>
          </w:tcPr>
          <w:p>
            <w:pPr>
              <w:ind w:firstLine="180" w:firstLineChars="100"/>
              <w:rPr>
                <w:rFonts w:hint="default" w:ascii="Times New Roman" w:hAnsi="Times New Roman" w:cs="Times New Roman"/>
                <w:sz w:val="18"/>
                <w:szCs w:val="18"/>
              </w:rPr>
            </w:pPr>
            <w:r>
              <w:rPr>
                <w:rFonts w:hint="default" w:ascii="Times New Roman" w:hAnsi="Times New Roman" w:cs="Times New Roman"/>
                <w:sz w:val="18"/>
                <w:szCs w:val="18"/>
              </w:rPr>
              <w:t>指令编号：</w:t>
            </w:r>
          </w:p>
        </w:tc>
        <w:tc>
          <w:tcPr>
            <w:tcW w:w="3927" w:type="dxa"/>
            <w:gridSpan w:val="4"/>
          </w:tcPr>
          <w:p>
            <w:pPr>
              <w:rPr>
                <w:rFonts w:hint="default" w:ascii="Times New Roman" w:hAnsi="Times New Roman" w:cs="Times New Roman"/>
                <w:sz w:val="18"/>
                <w:szCs w:val="18"/>
              </w:rPr>
            </w:pPr>
            <w:r>
              <w:rPr>
                <w:rFonts w:hint="default" w:ascii="Times New Roman" w:hAnsi="Times New Roman" w:cs="Times New Roman"/>
                <w:sz w:val="18"/>
                <w:szCs w:val="18"/>
              </w:rPr>
              <w:t>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349" w:type="dxa"/>
            <w:vMerge w:val="continue"/>
            <w:vAlign w:val="center"/>
          </w:tcPr>
          <w:p>
            <w:pPr>
              <w:jc w:val="center"/>
              <w:rPr>
                <w:rFonts w:hint="default" w:ascii="Times New Roman" w:hAnsi="Times New Roman" w:cs="Times New Roman"/>
                <w:sz w:val="18"/>
                <w:szCs w:val="18"/>
              </w:rPr>
            </w:pPr>
          </w:p>
        </w:tc>
        <w:tc>
          <w:tcPr>
            <w:tcW w:w="3749" w:type="dxa"/>
            <w:gridSpan w:val="3"/>
          </w:tcPr>
          <w:p>
            <w:pPr>
              <w:ind w:firstLine="180" w:firstLineChars="100"/>
              <w:rPr>
                <w:rFonts w:hint="default" w:ascii="Times New Roman" w:hAnsi="Times New Roman" w:cs="Times New Roman"/>
                <w:sz w:val="18"/>
                <w:szCs w:val="18"/>
              </w:rPr>
            </w:pPr>
            <w:r>
              <w:rPr>
                <w:rFonts w:hint="default" w:ascii="Times New Roman" w:hAnsi="Times New Roman" w:cs="Times New Roman"/>
                <w:sz w:val="18"/>
                <w:szCs w:val="18"/>
              </w:rPr>
              <w:t>1#闸门启（闭）高度：   米 至    米</w:t>
            </w:r>
          </w:p>
        </w:tc>
        <w:tc>
          <w:tcPr>
            <w:tcW w:w="3927" w:type="dxa"/>
            <w:gridSpan w:val="4"/>
          </w:tcPr>
          <w:p>
            <w:pPr>
              <w:rPr>
                <w:rFonts w:hint="default" w:ascii="Times New Roman" w:hAnsi="Times New Roman" w:cs="Times New Roman"/>
                <w:sz w:val="18"/>
                <w:szCs w:val="18"/>
              </w:rPr>
            </w:pPr>
            <w:r>
              <w:rPr>
                <w:rFonts w:hint="default" w:ascii="Times New Roman" w:hAnsi="Times New Roman" w:cs="Times New Roman"/>
                <w:sz w:val="18"/>
                <w:szCs w:val="18"/>
              </w:rPr>
              <w:t>启（闭）时间：  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349" w:type="dxa"/>
            <w:vMerge w:val="continue"/>
            <w:vAlign w:val="center"/>
          </w:tcPr>
          <w:p>
            <w:pPr>
              <w:jc w:val="center"/>
              <w:rPr>
                <w:rFonts w:hint="default" w:ascii="Times New Roman" w:hAnsi="Times New Roman" w:cs="Times New Roman"/>
                <w:sz w:val="18"/>
                <w:szCs w:val="18"/>
              </w:rPr>
            </w:pPr>
          </w:p>
        </w:tc>
        <w:tc>
          <w:tcPr>
            <w:tcW w:w="3749" w:type="dxa"/>
            <w:gridSpan w:val="3"/>
          </w:tcPr>
          <w:p>
            <w:pPr>
              <w:ind w:firstLine="180" w:firstLineChars="100"/>
              <w:rPr>
                <w:rFonts w:hint="default" w:ascii="Times New Roman" w:hAnsi="Times New Roman" w:cs="Times New Roman"/>
                <w:sz w:val="18"/>
                <w:szCs w:val="18"/>
              </w:rPr>
            </w:pPr>
            <w:r>
              <w:rPr>
                <w:rFonts w:hint="default" w:ascii="Times New Roman" w:hAnsi="Times New Roman" w:cs="Times New Roman"/>
                <w:sz w:val="18"/>
                <w:szCs w:val="18"/>
              </w:rPr>
              <w:t>2#闸门启（闭）高度：   米 至    米</w:t>
            </w:r>
          </w:p>
        </w:tc>
        <w:tc>
          <w:tcPr>
            <w:tcW w:w="3927" w:type="dxa"/>
            <w:gridSpan w:val="4"/>
          </w:tcPr>
          <w:p>
            <w:pPr>
              <w:rPr>
                <w:rFonts w:hint="default" w:ascii="Times New Roman" w:hAnsi="Times New Roman" w:cs="Times New Roman"/>
                <w:sz w:val="18"/>
                <w:szCs w:val="18"/>
              </w:rPr>
            </w:pPr>
            <w:r>
              <w:rPr>
                <w:rFonts w:hint="default" w:ascii="Times New Roman" w:hAnsi="Times New Roman" w:cs="Times New Roman"/>
                <w:sz w:val="18"/>
                <w:szCs w:val="18"/>
              </w:rPr>
              <w:t>启（闭）时间：  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349" w:type="dxa"/>
            <w:vMerge w:val="restart"/>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操作前检查</w:t>
            </w:r>
          </w:p>
        </w:tc>
        <w:tc>
          <w:tcPr>
            <w:tcW w:w="5309" w:type="dxa"/>
            <w:gridSpan w:val="6"/>
          </w:tcPr>
          <w:p>
            <w:pPr>
              <w:rPr>
                <w:rFonts w:hint="default" w:ascii="Times New Roman" w:hAnsi="Times New Roman" w:cs="Times New Roman"/>
                <w:sz w:val="18"/>
                <w:szCs w:val="18"/>
              </w:rPr>
            </w:pPr>
            <w:r>
              <w:rPr>
                <w:rFonts w:hint="default" w:ascii="Times New Roman" w:hAnsi="Times New Roman" w:cs="Times New Roman"/>
                <w:sz w:val="18"/>
                <w:szCs w:val="18"/>
              </w:rPr>
              <w:t>上游水面检查情况常（近口水流、水面情况）</w:t>
            </w:r>
          </w:p>
        </w:tc>
        <w:tc>
          <w:tcPr>
            <w:tcW w:w="2367" w:type="dxa"/>
          </w:tcPr>
          <w:p>
            <w:pPr>
              <w:rPr>
                <w:rFonts w:hint="default" w:ascii="Times New Roman" w:hAnsi="Times New Roman" w:cs="Times New Roman"/>
                <w:sz w:val="18"/>
                <w:szCs w:val="18"/>
              </w:rPr>
            </w:pPr>
            <w:r>
              <w:rPr>
                <w:rFonts w:hint="default" w:ascii="Times New Roman" w:hAnsi="Times New Roman" w:cs="Times New Roman"/>
                <w:color w:val="000000"/>
                <w:kern w:val="0"/>
                <w:sz w:val="18"/>
                <w:szCs w:val="18"/>
              </w:rPr>
              <w:t>□ 正常  □ 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349" w:type="dxa"/>
            <w:vMerge w:val="continue"/>
            <w:vAlign w:val="center"/>
          </w:tcPr>
          <w:p>
            <w:pPr>
              <w:jc w:val="center"/>
              <w:rPr>
                <w:rFonts w:hint="default" w:ascii="Times New Roman" w:hAnsi="Times New Roman" w:cs="Times New Roman"/>
                <w:sz w:val="18"/>
                <w:szCs w:val="18"/>
              </w:rPr>
            </w:pPr>
          </w:p>
        </w:tc>
        <w:tc>
          <w:tcPr>
            <w:tcW w:w="5309" w:type="dxa"/>
            <w:gridSpan w:val="6"/>
          </w:tcPr>
          <w:p>
            <w:pPr>
              <w:rPr>
                <w:rFonts w:hint="default" w:ascii="Times New Roman" w:hAnsi="Times New Roman" w:cs="Times New Roman"/>
                <w:sz w:val="18"/>
                <w:szCs w:val="18"/>
              </w:rPr>
            </w:pPr>
            <w:r>
              <w:rPr>
                <w:rFonts w:hint="default" w:ascii="Times New Roman" w:hAnsi="Times New Roman" w:cs="Times New Roman"/>
                <w:sz w:val="18"/>
                <w:szCs w:val="18"/>
              </w:rPr>
              <w:t>闸门行程检查情况</w:t>
            </w:r>
          </w:p>
        </w:tc>
        <w:tc>
          <w:tcPr>
            <w:tcW w:w="2367" w:type="dxa"/>
          </w:tcPr>
          <w:p>
            <w:pPr>
              <w:rPr>
                <w:rFonts w:hint="default" w:ascii="Times New Roman" w:hAnsi="Times New Roman" w:cs="Times New Roman"/>
                <w:sz w:val="18"/>
                <w:szCs w:val="18"/>
              </w:rPr>
            </w:pPr>
            <w:r>
              <w:rPr>
                <w:rFonts w:hint="default" w:ascii="Times New Roman" w:hAnsi="Times New Roman" w:cs="Times New Roman"/>
                <w:color w:val="000000"/>
                <w:kern w:val="0"/>
                <w:sz w:val="18"/>
                <w:szCs w:val="18"/>
              </w:rPr>
              <w:t>□ 正常  □ 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349" w:type="dxa"/>
            <w:vMerge w:val="continue"/>
            <w:vAlign w:val="center"/>
          </w:tcPr>
          <w:p>
            <w:pPr>
              <w:jc w:val="center"/>
              <w:rPr>
                <w:rFonts w:hint="default" w:ascii="Times New Roman" w:hAnsi="Times New Roman" w:cs="Times New Roman"/>
                <w:sz w:val="18"/>
                <w:szCs w:val="18"/>
              </w:rPr>
            </w:pPr>
          </w:p>
        </w:tc>
        <w:tc>
          <w:tcPr>
            <w:tcW w:w="5309" w:type="dxa"/>
            <w:gridSpan w:val="6"/>
          </w:tcPr>
          <w:p>
            <w:pPr>
              <w:rPr>
                <w:rFonts w:hint="default" w:ascii="Times New Roman" w:hAnsi="Times New Roman" w:cs="Times New Roman"/>
                <w:sz w:val="18"/>
                <w:szCs w:val="18"/>
              </w:rPr>
            </w:pPr>
            <w:r>
              <w:rPr>
                <w:rFonts w:hint="default" w:ascii="Times New Roman" w:hAnsi="Times New Roman" w:cs="Times New Roman"/>
                <w:sz w:val="18"/>
                <w:szCs w:val="18"/>
              </w:rPr>
              <w:t>启闭设备检查情况（启闭机、电气设备）</w:t>
            </w:r>
          </w:p>
        </w:tc>
        <w:tc>
          <w:tcPr>
            <w:tcW w:w="2367" w:type="dxa"/>
          </w:tcPr>
          <w:p>
            <w:pPr>
              <w:rPr>
                <w:rFonts w:hint="default" w:ascii="Times New Roman" w:hAnsi="Times New Roman" w:cs="Times New Roman"/>
                <w:sz w:val="18"/>
                <w:szCs w:val="18"/>
              </w:rPr>
            </w:pPr>
            <w:r>
              <w:rPr>
                <w:rFonts w:hint="default" w:ascii="Times New Roman" w:hAnsi="Times New Roman" w:cs="Times New Roman"/>
                <w:color w:val="000000"/>
                <w:kern w:val="0"/>
                <w:sz w:val="18"/>
                <w:szCs w:val="18"/>
              </w:rPr>
              <w:t>□ 正常  □ 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349" w:type="dxa"/>
            <w:vMerge w:val="continue"/>
            <w:vAlign w:val="center"/>
          </w:tcPr>
          <w:p>
            <w:pPr>
              <w:jc w:val="center"/>
              <w:rPr>
                <w:rFonts w:hint="default" w:ascii="Times New Roman" w:hAnsi="Times New Roman" w:cs="Times New Roman"/>
                <w:sz w:val="18"/>
                <w:szCs w:val="18"/>
              </w:rPr>
            </w:pPr>
          </w:p>
        </w:tc>
        <w:tc>
          <w:tcPr>
            <w:tcW w:w="5309" w:type="dxa"/>
            <w:gridSpan w:val="6"/>
          </w:tcPr>
          <w:p>
            <w:pPr>
              <w:rPr>
                <w:rFonts w:hint="default" w:ascii="Times New Roman" w:hAnsi="Times New Roman" w:cs="Times New Roman"/>
                <w:sz w:val="18"/>
                <w:szCs w:val="18"/>
              </w:rPr>
            </w:pPr>
            <w:r>
              <w:rPr>
                <w:rFonts w:hint="default" w:ascii="Times New Roman" w:hAnsi="Times New Roman" w:cs="Times New Roman"/>
                <w:sz w:val="18"/>
                <w:szCs w:val="18"/>
              </w:rPr>
              <w:t>泄槽、消力池检查情况</w:t>
            </w:r>
          </w:p>
        </w:tc>
        <w:tc>
          <w:tcPr>
            <w:tcW w:w="2367" w:type="dxa"/>
          </w:tcPr>
          <w:p>
            <w:pP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正常  □ 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349" w:type="dxa"/>
            <w:vMerge w:val="continue"/>
            <w:vAlign w:val="center"/>
          </w:tcPr>
          <w:p>
            <w:pPr>
              <w:jc w:val="center"/>
              <w:rPr>
                <w:rFonts w:hint="default" w:ascii="Times New Roman" w:hAnsi="Times New Roman" w:cs="Times New Roman"/>
                <w:sz w:val="18"/>
                <w:szCs w:val="18"/>
              </w:rPr>
            </w:pPr>
          </w:p>
        </w:tc>
        <w:tc>
          <w:tcPr>
            <w:tcW w:w="5309" w:type="dxa"/>
            <w:gridSpan w:val="6"/>
          </w:tcPr>
          <w:p>
            <w:pPr>
              <w:rPr>
                <w:rFonts w:hint="default" w:ascii="Times New Roman" w:hAnsi="Times New Roman" w:cs="Times New Roman"/>
                <w:sz w:val="18"/>
                <w:szCs w:val="18"/>
              </w:rPr>
            </w:pPr>
            <w:r>
              <w:rPr>
                <w:rFonts w:hint="default" w:ascii="Times New Roman" w:hAnsi="Times New Roman" w:cs="Times New Roman"/>
                <w:sz w:val="18"/>
                <w:szCs w:val="18"/>
              </w:rPr>
              <w:t>边坡整体稳定情况检查情况</w:t>
            </w:r>
          </w:p>
        </w:tc>
        <w:tc>
          <w:tcPr>
            <w:tcW w:w="2367" w:type="dxa"/>
          </w:tcPr>
          <w:p>
            <w:pPr>
              <w:rPr>
                <w:rFonts w:hint="default" w:ascii="Times New Roman" w:hAnsi="Times New Roman" w:cs="Times New Roman"/>
                <w:sz w:val="18"/>
                <w:szCs w:val="18"/>
              </w:rPr>
            </w:pPr>
            <w:r>
              <w:rPr>
                <w:rFonts w:hint="default" w:ascii="Times New Roman" w:hAnsi="Times New Roman" w:cs="Times New Roman"/>
                <w:color w:val="000000"/>
                <w:kern w:val="0"/>
                <w:sz w:val="18"/>
                <w:szCs w:val="18"/>
              </w:rPr>
              <w:t>□ 正常  □ 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34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泄洪预警</w:t>
            </w:r>
          </w:p>
        </w:tc>
        <w:tc>
          <w:tcPr>
            <w:tcW w:w="3749" w:type="dxa"/>
            <w:gridSpan w:val="3"/>
          </w:tcPr>
          <w:p>
            <w:pPr>
              <w:rPr>
                <w:rFonts w:hint="default" w:ascii="Times New Roman" w:hAnsi="Times New Roman" w:cs="Times New Roman"/>
                <w:sz w:val="18"/>
                <w:szCs w:val="18"/>
              </w:rPr>
            </w:pPr>
            <w:r>
              <w:rPr>
                <w:rFonts w:hint="default" w:ascii="Times New Roman" w:hAnsi="Times New Roman" w:cs="Times New Roman"/>
                <w:sz w:val="18"/>
                <w:szCs w:val="18"/>
              </w:rPr>
              <w:t>预警完成确认人员：</w:t>
            </w:r>
          </w:p>
        </w:tc>
        <w:tc>
          <w:tcPr>
            <w:tcW w:w="3927" w:type="dxa"/>
            <w:gridSpan w:val="4"/>
          </w:tcPr>
          <w:p>
            <w:pPr>
              <w:rPr>
                <w:rFonts w:hint="default" w:ascii="Times New Roman" w:hAnsi="Times New Roman" w:cs="Times New Roman"/>
                <w:sz w:val="18"/>
                <w:szCs w:val="18"/>
              </w:rPr>
            </w:pPr>
            <w:r>
              <w:rPr>
                <w:rFonts w:hint="default" w:ascii="Times New Roman" w:hAnsi="Times New Roman" w:cs="Times New Roman"/>
                <w:sz w:val="18"/>
                <w:szCs w:val="18"/>
              </w:rPr>
              <w:t>时间：     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34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鸣笛警报</w:t>
            </w:r>
          </w:p>
        </w:tc>
        <w:tc>
          <w:tcPr>
            <w:tcW w:w="7676" w:type="dxa"/>
            <w:gridSpan w:val="7"/>
          </w:tcPr>
          <w:p>
            <w:pPr>
              <w:pStyle w:val="346"/>
              <w:numPr>
                <w:ilvl w:val="0"/>
                <w:numId w:val="52"/>
              </w:numPr>
              <w:ind w:firstLineChars="0"/>
              <w:rPr>
                <w:rFonts w:hint="default" w:ascii="Times New Roman" w:hAnsi="Times New Roman" w:cs="Times New Roman"/>
                <w:sz w:val="18"/>
                <w:szCs w:val="18"/>
              </w:rPr>
            </w:pPr>
            <w:r>
              <w:rPr>
                <w:rFonts w:hint="default" w:ascii="Times New Roman" w:hAnsi="Times New Roman" w:cs="Times New Roman"/>
                <w:sz w:val="18"/>
                <w:szCs w:val="18"/>
              </w:rPr>
              <w:t xml:space="preserve">   时  分 -    时   分；2、   时  分-  时  分；3、   时  分-    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34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喷淋润湿</w:t>
            </w:r>
          </w:p>
        </w:tc>
        <w:tc>
          <w:tcPr>
            <w:tcW w:w="3766" w:type="dxa"/>
            <w:gridSpan w:val="4"/>
          </w:tcPr>
          <w:p>
            <w:pPr>
              <w:pStyle w:val="346"/>
              <w:ind w:left="360" w:firstLine="0" w:firstLineChars="0"/>
              <w:rPr>
                <w:rFonts w:hint="default" w:ascii="Times New Roman" w:hAnsi="Times New Roman" w:cs="Times New Roman"/>
                <w:sz w:val="18"/>
                <w:szCs w:val="18"/>
              </w:rPr>
            </w:pPr>
            <w:r>
              <w:rPr>
                <w:rFonts w:hint="default" w:ascii="Times New Roman" w:hAnsi="Times New Roman" w:cs="Times New Roman"/>
                <w:sz w:val="18"/>
                <w:szCs w:val="18"/>
              </w:rPr>
              <w:t>打开时间：    时      分</w:t>
            </w:r>
          </w:p>
        </w:tc>
        <w:tc>
          <w:tcPr>
            <w:tcW w:w="3910" w:type="dxa"/>
            <w:gridSpan w:val="3"/>
          </w:tcPr>
          <w:p>
            <w:pPr>
              <w:rPr>
                <w:rFonts w:hint="default" w:ascii="Times New Roman" w:hAnsi="Times New Roman" w:cs="Times New Roman"/>
                <w:sz w:val="18"/>
                <w:szCs w:val="18"/>
              </w:rPr>
            </w:pPr>
            <w:r>
              <w:rPr>
                <w:rFonts w:hint="default" w:ascii="Times New Roman" w:hAnsi="Times New Roman" w:cs="Times New Roman"/>
                <w:sz w:val="18"/>
                <w:szCs w:val="18"/>
              </w:rPr>
              <w:t>润滑情况：</w:t>
            </w:r>
            <w:r>
              <w:rPr>
                <w:rFonts w:hint="default" w:ascii="Times New Roman" w:hAnsi="Times New Roman" w:cs="Times New Roman"/>
                <w:color w:val="000000"/>
                <w:kern w:val="0"/>
                <w:sz w:val="18"/>
                <w:szCs w:val="18"/>
              </w:rPr>
              <w:t>□ 正常  □ 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349" w:type="dxa"/>
            <w:vMerge w:val="restart"/>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1#闸门启（闭）操作</w:t>
            </w:r>
          </w:p>
        </w:tc>
        <w:tc>
          <w:tcPr>
            <w:tcW w:w="2332" w:type="dxa"/>
          </w:tcPr>
          <w:p>
            <w:pPr>
              <w:rPr>
                <w:rFonts w:hint="default" w:ascii="Times New Roman" w:hAnsi="Times New Roman" w:cs="Times New Roman"/>
                <w:sz w:val="18"/>
                <w:szCs w:val="18"/>
              </w:rPr>
            </w:pPr>
            <w:r>
              <w:rPr>
                <w:rFonts w:hint="default" w:ascii="Times New Roman" w:hAnsi="Times New Roman" w:cs="Times New Roman"/>
                <w:sz w:val="18"/>
                <w:szCs w:val="18"/>
              </w:rPr>
              <w:t>打开电源</w:t>
            </w:r>
          </w:p>
        </w:tc>
        <w:tc>
          <w:tcPr>
            <w:tcW w:w="2551" w:type="dxa"/>
            <w:gridSpan w:val="4"/>
          </w:tcPr>
          <w:p>
            <w:pPr>
              <w:rPr>
                <w:rFonts w:hint="default" w:ascii="Times New Roman" w:hAnsi="Times New Roman" w:cs="Times New Roman"/>
                <w:sz w:val="18"/>
                <w:szCs w:val="18"/>
              </w:rPr>
            </w:pPr>
            <w:r>
              <w:rPr>
                <w:rFonts w:hint="default" w:ascii="Times New Roman" w:hAnsi="Times New Roman" w:cs="Times New Roman"/>
                <w:sz w:val="18"/>
                <w:szCs w:val="18"/>
              </w:rPr>
              <w:t>时间：    时   分</w:t>
            </w:r>
          </w:p>
        </w:tc>
        <w:tc>
          <w:tcPr>
            <w:tcW w:w="2793" w:type="dxa"/>
            <w:gridSpan w:val="2"/>
          </w:tcPr>
          <w:p>
            <w:pPr>
              <w:rPr>
                <w:rFonts w:hint="default" w:ascii="Times New Roman" w:hAnsi="Times New Roman" w:cs="Times New Roman"/>
                <w:sz w:val="18"/>
                <w:szCs w:val="18"/>
              </w:rPr>
            </w:pPr>
            <w:r>
              <w:rPr>
                <w:rFonts w:hint="default" w:ascii="Times New Roman" w:hAnsi="Times New Roman" w:cs="Times New Roman"/>
                <w:sz w:val="18"/>
                <w:szCs w:val="18"/>
              </w:rPr>
              <w:t>闸门开启高度：  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349" w:type="dxa"/>
            <w:vMerge w:val="continue"/>
            <w:vAlign w:val="center"/>
          </w:tcPr>
          <w:p>
            <w:pPr>
              <w:jc w:val="center"/>
              <w:rPr>
                <w:rFonts w:hint="default" w:ascii="Times New Roman" w:hAnsi="Times New Roman" w:cs="Times New Roman"/>
                <w:sz w:val="18"/>
                <w:szCs w:val="18"/>
              </w:rPr>
            </w:pPr>
          </w:p>
        </w:tc>
        <w:tc>
          <w:tcPr>
            <w:tcW w:w="2332" w:type="dxa"/>
          </w:tcPr>
          <w:p>
            <w:pPr>
              <w:rPr>
                <w:rFonts w:hint="default" w:ascii="Times New Roman" w:hAnsi="Times New Roman" w:cs="Times New Roman"/>
                <w:sz w:val="18"/>
                <w:szCs w:val="18"/>
              </w:rPr>
            </w:pPr>
            <w:r>
              <w:rPr>
                <w:rFonts w:hint="default" w:ascii="Times New Roman" w:hAnsi="Times New Roman" w:cs="Times New Roman"/>
                <w:sz w:val="18"/>
                <w:szCs w:val="18"/>
              </w:rPr>
              <w:t>开启（关闭）</w:t>
            </w:r>
          </w:p>
        </w:tc>
        <w:tc>
          <w:tcPr>
            <w:tcW w:w="2551" w:type="dxa"/>
            <w:gridSpan w:val="4"/>
          </w:tcPr>
          <w:p>
            <w:pPr>
              <w:rPr>
                <w:rFonts w:hint="default" w:ascii="Times New Roman" w:hAnsi="Times New Roman" w:cs="Times New Roman"/>
                <w:sz w:val="18"/>
                <w:szCs w:val="18"/>
              </w:rPr>
            </w:pPr>
            <w:r>
              <w:rPr>
                <w:rFonts w:hint="default" w:ascii="Times New Roman" w:hAnsi="Times New Roman" w:cs="Times New Roman"/>
                <w:sz w:val="18"/>
                <w:szCs w:val="18"/>
              </w:rPr>
              <w:t>时间：    时   分</w:t>
            </w:r>
          </w:p>
        </w:tc>
        <w:tc>
          <w:tcPr>
            <w:tcW w:w="2793" w:type="dxa"/>
            <w:gridSpan w:val="2"/>
          </w:tcPr>
          <w:p>
            <w:pPr>
              <w:rPr>
                <w:rFonts w:hint="default" w:ascii="Times New Roman" w:hAnsi="Times New Roman" w:cs="Times New Roman"/>
                <w:sz w:val="18"/>
                <w:szCs w:val="18"/>
              </w:rPr>
            </w:pPr>
            <w:r>
              <w:rPr>
                <w:rFonts w:hint="default" w:ascii="Times New Roman" w:hAnsi="Times New Roman" w:cs="Times New Roman"/>
                <w:sz w:val="18"/>
                <w:szCs w:val="18"/>
              </w:rPr>
              <w:t>闸门开启高度：  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349" w:type="dxa"/>
            <w:vMerge w:val="continue"/>
            <w:vAlign w:val="center"/>
          </w:tcPr>
          <w:p>
            <w:pPr>
              <w:jc w:val="center"/>
              <w:rPr>
                <w:rFonts w:hint="default" w:ascii="Times New Roman" w:hAnsi="Times New Roman" w:cs="Times New Roman"/>
                <w:sz w:val="18"/>
                <w:szCs w:val="18"/>
              </w:rPr>
            </w:pPr>
          </w:p>
        </w:tc>
        <w:tc>
          <w:tcPr>
            <w:tcW w:w="2332" w:type="dxa"/>
          </w:tcPr>
          <w:p>
            <w:pPr>
              <w:rPr>
                <w:rFonts w:hint="default" w:ascii="Times New Roman" w:hAnsi="Times New Roman" w:cs="Times New Roman"/>
                <w:sz w:val="18"/>
                <w:szCs w:val="18"/>
              </w:rPr>
            </w:pPr>
            <w:r>
              <w:rPr>
                <w:rFonts w:hint="default" w:ascii="Times New Roman" w:hAnsi="Times New Roman" w:cs="Times New Roman"/>
                <w:sz w:val="18"/>
                <w:szCs w:val="18"/>
              </w:rPr>
              <w:t>设备检查</w:t>
            </w:r>
          </w:p>
        </w:tc>
        <w:tc>
          <w:tcPr>
            <w:tcW w:w="2551" w:type="dxa"/>
            <w:gridSpan w:val="4"/>
          </w:tcPr>
          <w:p>
            <w:pPr>
              <w:rPr>
                <w:rFonts w:hint="default" w:ascii="Times New Roman" w:hAnsi="Times New Roman" w:cs="Times New Roman"/>
                <w:sz w:val="18"/>
                <w:szCs w:val="18"/>
              </w:rPr>
            </w:pPr>
            <w:r>
              <w:rPr>
                <w:rFonts w:hint="default" w:ascii="Times New Roman" w:hAnsi="Times New Roman" w:cs="Times New Roman"/>
                <w:sz w:val="18"/>
                <w:szCs w:val="18"/>
              </w:rPr>
              <w:t>时间：    时   分</w:t>
            </w:r>
          </w:p>
        </w:tc>
        <w:tc>
          <w:tcPr>
            <w:tcW w:w="2793" w:type="dxa"/>
            <w:gridSpan w:val="2"/>
          </w:tcPr>
          <w:p>
            <w:pPr>
              <w:rPr>
                <w:rFonts w:hint="default" w:ascii="Times New Roman" w:hAnsi="Times New Roman" w:cs="Times New Roman"/>
                <w:sz w:val="18"/>
                <w:szCs w:val="18"/>
              </w:rPr>
            </w:pPr>
            <w:r>
              <w:rPr>
                <w:rFonts w:hint="default" w:ascii="Times New Roman" w:hAnsi="Times New Roman" w:cs="Times New Roman"/>
                <w:sz w:val="18"/>
                <w:szCs w:val="18"/>
              </w:rPr>
              <w:t>闸门开启高度：  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349" w:type="dxa"/>
            <w:vMerge w:val="continue"/>
            <w:vAlign w:val="center"/>
          </w:tcPr>
          <w:p>
            <w:pPr>
              <w:jc w:val="center"/>
              <w:rPr>
                <w:rFonts w:hint="default" w:ascii="Times New Roman" w:hAnsi="Times New Roman" w:cs="Times New Roman"/>
                <w:sz w:val="18"/>
                <w:szCs w:val="18"/>
              </w:rPr>
            </w:pPr>
          </w:p>
        </w:tc>
        <w:tc>
          <w:tcPr>
            <w:tcW w:w="2332" w:type="dxa"/>
          </w:tcPr>
          <w:p>
            <w:pPr>
              <w:rPr>
                <w:rFonts w:hint="default" w:ascii="Times New Roman" w:hAnsi="Times New Roman" w:cs="Times New Roman"/>
                <w:sz w:val="18"/>
                <w:szCs w:val="18"/>
              </w:rPr>
            </w:pPr>
            <w:r>
              <w:rPr>
                <w:rFonts w:hint="default" w:ascii="Times New Roman" w:hAnsi="Times New Roman" w:cs="Times New Roman"/>
                <w:sz w:val="18"/>
                <w:szCs w:val="18"/>
              </w:rPr>
              <w:t>流态检查</w:t>
            </w:r>
          </w:p>
        </w:tc>
        <w:tc>
          <w:tcPr>
            <w:tcW w:w="2551" w:type="dxa"/>
            <w:gridSpan w:val="4"/>
          </w:tcPr>
          <w:p>
            <w:pPr>
              <w:rPr>
                <w:rFonts w:hint="default" w:ascii="Times New Roman" w:hAnsi="Times New Roman" w:cs="Times New Roman"/>
                <w:sz w:val="18"/>
                <w:szCs w:val="18"/>
              </w:rPr>
            </w:pPr>
            <w:r>
              <w:rPr>
                <w:rFonts w:hint="default" w:ascii="Times New Roman" w:hAnsi="Times New Roman" w:cs="Times New Roman"/>
                <w:sz w:val="18"/>
                <w:szCs w:val="18"/>
              </w:rPr>
              <w:t>时间：    时   分</w:t>
            </w:r>
          </w:p>
        </w:tc>
        <w:tc>
          <w:tcPr>
            <w:tcW w:w="2793" w:type="dxa"/>
            <w:gridSpan w:val="2"/>
          </w:tcPr>
          <w:p>
            <w:pPr>
              <w:rPr>
                <w:rFonts w:hint="default" w:ascii="Times New Roman" w:hAnsi="Times New Roman" w:cs="Times New Roman"/>
                <w:sz w:val="18"/>
                <w:szCs w:val="18"/>
              </w:rPr>
            </w:pPr>
            <w:r>
              <w:rPr>
                <w:rFonts w:hint="default" w:ascii="Times New Roman" w:hAnsi="Times New Roman" w:cs="Times New Roman"/>
                <w:sz w:val="18"/>
                <w:szCs w:val="18"/>
              </w:rPr>
              <w:t>闸门开启高度：  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349" w:type="dxa"/>
            <w:vMerge w:val="continue"/>
            <w:vAlign w:val="center"/>
          </w:tcPr>
          <w:p>
            <w:pPr>
              <w:jc w:val="center"/>
              <w:rPr>
                <w:rFonts w:hint="default" w:ascii="Times New Roman" w:hAnsi="Times New Roman" w:cs="Times New Roman"/>
                <w:sz w:val="18"/>
                <w:szCs w:val="18"/>
              </w:rPr>
            </w:pPr>
          </w:p>
        </w:tc>
        <w:tc>
          <w:tcPr>
            <w:tcW w:w="2332" w:type="dxa"/>
          </w:tcPr>
          <w:p>
            <w:pPr>
              <w:rPr>
                <w:rFonts w:hint="default" w:ascii="Times New Roman" w:hAnsi="Times New Roman" w:cs="Times New Roman"/>
                <w:sz w:val="18"/>
                <w:szCs w:val="18"/>
              </w:rPr>
            </w:pPr>
            <w:r>
              <w:rPr>
                <w:rFonts w:hint="default" w:ascii="Times New Roman" w:hAnsi="Times New Roman" w:cs="Times New Roman"/>
                <w:sz w:val="18"/>
                <w:szCs w:val="18"/>
              </w:rPr>
              <w:t>开启（关闭）指定高度</w:t>
            </w:r>
          </w:p>
        </w:tc>
        <w:tc>
          <w:tcPr>
            <w:tcW w:w="2551" w:type="dxa"/>
            <w:gridSpan w:val="4"/>
          </w:tcPr>
          <w:p>
            <w:pPr>
              <w:rPr>
                <w:rFonts w:hint="default" w:ascii="Times New Roman" w:hAnsi="Times New Roman" w:cs="Times New Roman"/>
                <w:sz w:val="18"/>
                <w:szCs w:val="18"/>
              </w:rPr>
            </w:pPr>
            <w:r>
              <w:rPr>
                <w:rFonts w:hint="default" w:ascii="Times New Roman" w:hAnsi="Times New Roman" w:cs="Times New Roman"/>
                <w:sz w:val="18"/>
                <w:szCs w:val="18"/>
              </w:rPr>
              <w:t>时间：    时   分</w:t>
            </w:r>
          </w:p>
        </w:tc>
        <w:tc>
          <w:tcPr>
            <w:tcW w:w="2793" w:type="dxa"/>
            <w:gridSpan w:val="2"/>
          </w:tcPr>
          <w:p>
            <w:pPr>
              <w:rPr>
                <w:rFonts w:hint="default" w:ascii="Times New Roman" w:hAnsi="Times New Roman" w:cs="Times New Roman"/>
                <w:sz w:val="18"/>
                <w:szCs w:val="18"/>
              </w:rPr>
            </w:pPr>
            <w:r>
              <w:rPr>
                <w:rFonts w:hint="default" w:ascii="Times New Roman" w:hAnsi="Times New Roman" w:cs="Times New Roman"/>
                <w:sz w:val="18"/>
                <w:szCs w:val="18"/>
              </w:rPr>
              <w:t>闸门开启高度：  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349" w:type="dxa"/>
            <w:vMerge w:val="continue"/>
            <w:vAlign w:val="center"/>
          </w:tcPr>
          <w:p>
            <w:pPr>
              <w:jc w:val="center"/>
              <w:rPr>
                <w:rFonts w:hint="default" w:ascii="Times New Roman" w:hAnsi="Times New Roman" w:cs="Times New Roman"/>
                <w:sz w:val="18"/>
                <w:szCs w:val="18"/>
              </w:rPr>
            </w:pPr>
          </w:p>
        </w:tc>
        <w:tc>
          <w:tcPr>
            <w:tcW w:w="2332" w:type="dxa"/>
          </w:tcPr>
          <w:p>
            <w:pPr>
              <w:rPr>
                <w:rFonts w:hint="default" w:ascii="Times New Roman" w:hAnsi="Times New Roman" w:cs="Times New Roman"/>
                <w:sz w:val="18"/>
                <w:szCs w:val="18"/>
              </w:rPr>
            </w:pPr>
            <w:r>
              <w:rPr>
                <w:rFonts w:hint="default" w:ascii="Times New Roman" w:hAnsi="Times New Roman" w:cs="Times New Roman"/>
                <w:sz w:val="18"/>
                <w:szCs w:val="18"/>
              </w:rPr>
              <w:t>关闭电源</w:t>
            </w:r>
          </w:p>
        </w:tc>
        <w:tc>
          <w:tcPr>
            <w:tcW w:w="2551" w:type="dxa"/>
            <w:gridSpan w:val="4"/>
          </w:tcPr>
          <w:p>
            <w:pPr>
              <w:rPr>
                <w:rFonts w:hint="default" w:ascii="Times New Roman" w:hAnsi="Times New Roman" w:cs="Times New Roman"/>
                <w:sz w:val="18"/>
                <w:szCs w:val="18"/>
              </w:rPr>
            </w:pPr>
            <w:r>
              <w:rPr>
                <w:rFonts w:hint="default" w:ascii="Times New Roman" w:hAnsi="Times New Roman" w:cs="Times New Roman"/>
                <w:sz w:val="18"/>
                <w:szCs w:val="18"/>
              </w:rPr>
              <w:t>时间：    时   分</w:t>
            </w:r>
          </w:p>
        </w:tc>
        <w:tc>
          <w:tcPr>
            <w:tcW w:w="2793" w:type="dxa"/>
            <w:gridSpan w:val="2"/>
          </w:tcPr>
          <w:p>
            <w:pPr>
              <w:rPr>
                <w:rFonts w:hint="default" w:ascii="Times New Roman" w:hAnsi="Times New Roman" w:cs="Times New Roman"/>
                <w:sz w:val="18"/>
                <w:szCs w:val="18"/>
              </w:rPr>
            </w:pPr>
            <w:r>
              <w:rPr>
                <w:rFonts w:hint="default" w:ascii="Times New Roman" w:hAnsi="Times New Roman" w:cs="Times New Roman"/>
                <w:sz w:val="18"/>
                <w:szCs w:val="18"/>
              </w:rPr>
              <w:t>闸门开启高度：  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349" w:type="dxa"/>
            <w:vMerge w:val="restart"/>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2#闸门启（闭）操作</w:t>
            </w:r>
          </w:p>
        </w:tc>
        <w:tc>
          <w:tcPr>
            <w:tcW w:w="2332" w:type="dxa"/>
          </w:tcPr>
          <w:p>
            <w:pPr>
              <w:rPr>
                <w:rFonts w:hint="default" w:ascii="Times New Roman" w:hAnsi="Times New Roman" w:cs="Times New Roman"/>
                <w:sz w:val="18"/>
                <w:szCs w:val="18"/>
              </w:rPr>
            </w:pPr>
            <w:r>
              <w:rPr>
                <w:rFonts w:hint="default" w:ascii="Times New Roman" w:hAnsi="Times New Roman" w:cs="Times New Roman"/>
                <w:sz w:val="18"/>
                <w:szCs w:val="18"/>
              </w:rPr>
              <w:t>打开电源</w:t>
            </w:r>
          </w:p>
        </w:tc>
        <w:tc>
          <w:tcPr>
            <w:tcW w:w="2551" w:type="dxa"/>
            <w:gridSpan w:val="4"/>
          </w:tcPr>
          <w:p>
            <w:pPr>
              <w:rPr>
                <w:rFonts w:hint="default" w:ascii="Times New Roman" w:hAnsi="Times New Roman" w:cs="Times New Roman"/>
                <w:sz w:val="18"/>
                <w:szCs w:val="18"/>
              </w:rPr>
            </w:pPr>
            <w:r>
              <w:rPr>
                <w:rFonts w:hint="default" w:ascii="Times New Roman" w:hAnsi="Times New Roman" w:cs="Times New Roman"/>
                <w:sz w:val="18"/>
                <w:szCs w:val="18"/>
              </w:rPr>
              <w:t>时间：    时   分</w:t>
            </w:r>
          </w:p>
        </w:tc>
        <w:tc>
          <w:tcPr>
            <w:tcW w:w="2793" w:type="dxa"/>
            <w:gridSpan w:val="2"/>
          </w:tcPr>
          <w:p>
            <w:pPr>
              <w:rPr>
                <w:rFonts w:hint="default" w:ascii="Times New Roman" w:hAnsi="Times New Roman" w:cs="Times New Roman"/>
                <w:sz w:val="18"/>
                <w:szCs w:val="18"/>
              </w:rPr>
            </w:pPr>
            <w:r>
              <w:rPr>
                <w:rFonts w:hint="default" w:ascii="Times New Roman" w:hAnsi="Times New Roman" w:cs="Times New Roman"/>
                <w:sz w:val="18"/>
                <w:szCs w:val="18"/>
              </w:rPr>
              <w:t>闸门开启高度：  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349" w:type="dxa"/>
            <w:vMerge w:val="continue"/>
            <w:vAlign w:val="center"/>
          </w:tcPr>
          <w:p>
            <w:pPr>
              <w:jc w:val="center"/>
              <w:rPr>
                <w:rFonts w:hint="default" w:ascii="Times New Roman" w:hAnsi="Times New Roman" w:cs="Times New Roman"/>
                <w:sz w:val="18"/>
                <w:szCs w:val="18"/>
              </w:rPr>
            </w:pPr>
          </w:p>
        </w:tc>
        <w:tc>
          <w:tcPr>
            <w:tcW w:w="2332" w:type="dxa"/>
          </w:tcPr>
          <w:p>
            <w:pPr>
              <w:rPr>
                <w:rFonts w:hint="default" w:ascii="Times New Roman" w:hAnsi="Times New Roman" w:cs="Times New Roman"/>
                <w:sz w:val="18"/>
                <w:szCs w:val="18"/>
              </w:rPr>
            </w:pPr>
            <w:r>
              <w:rPr>
                <w:rFonts w:hint="default" w:ascii="Times New Roman" w:hAnsi="Times New Roman" w:cs="Times New Roman"/>
                <w:sz w:val="18"/>
                <w:szCs w:val="18"/>
              </w:rPr>
              <w:t>开启（关闭）</w:t>
            </w:r>
          </w:p>
        </w:tc>
        <w:tc>
          <w:tcPr>
            <w:tcW w:w="2551" w:type="dxa"/>
            <w:gridSpan w:val="4"/>
          </w:tcPr>
          <w:p>
            <w:pPr>
              <w:rPr>
                <w:rFonts w:hint="default" w:ascii="Times New Roman" w:hAnsi="Times New Roman" w:cs="Times New Roman"/>
                <w:sz w:val="18"/>
                <w:szCs w:val="18"/>
              </w:rPr>
            </w:pPr>
            <w:r>
              <w:rPr>
                <w:rFonts w:hint="default" w:ascii="Times New Roman" w:hAnsi="Times New Roman" w:cs="Times New Roman"/>
                <w:sz w:val="18"/>
                <w:szCs w:val="18"/>
              </w:rPr>
              <w:t>时间：    时   分</w:t>
            </w:r>
          </w:p>
        </w:tc>
        <w:tc>
          <w:tcPr>
            <w:tcW w:w="2793" w:type="dxa"/>
            <w:gridSpan w:val="2"/>
          </w:tcPr>
          <w:p>
            <w:pPr>
              <w:rPr>
                <w:rFonts w:hint="default" w:ascii="Times New Roman" w:hAnsi="Times New Roman" w:cs="Times New Roman"/>
                <w:sz w:val="18"/>
                <w:szCs w:val="18"/>
              </w:rPr>
            </w:pPr>
            <w:r>
              <w:rPr>
                <w:rFonts w:hint="default" w:ascii="Times New Roman" w:hAnsi="Times New Roman" w:cs="Times New Roman"/>
                <w:sz w:val="18"/>
                <w:szCs w:val="18"/>
              </w:rPr>
              <w:t>闸门开启高度：  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349" w:type="dxa"/>
            <w:vMerge w:val="continue"/>
            <w:vAlign w:val="center"/>
          </w:tcPr>
          <w:p>
            <w:pPr>
              <w:jc w:val="center"/>
              <w:rPr>
                <w:rFonts w:hint="default" w:ascii="Times New Roman" w:hAnsi="Times New Roman" w:cs="Times New Roman"/>
                <w:sz w:val="18"/>
                <w:szCs w:val="18"/>
              </w:rPr>
            </w:pPr>
          </w:p>
        </w:tc>
        <w:tc>
          <w:tcPr>
            <w:tcW w:w="2332" w:type="dxa"/>
          </w:tcPr>
          <w:p>
            <w:pPr>
              <w:rPr>
                <w:rFonts w:hint="default" w:ascii="Times New Roman" w:hAnsi="Times New Roman" w:cs="Times New Roman"/>
                <w:sz w:val="18"/>
                <w:szCs w:val="18"/>
              </w:rPr>
            </w:pPr>
            <w:r>
              <w:rPr>
                <w:rFonts w:hint="default" w:ascii="Times New Roman" w:hAnsi="Times New Roman" w:cs="Times New Roman"/>
                <w:sz w:val="18"/>
                <w:szCs w:val="18"/>
              </w:rPr>
              <w:t>设备检查</w:t>
            </w:r>
          </w:p>
        </w:tc>
        <w:tc>
          <w:tcPr>
            <w:tcW w:w="2551" w:type="dxa"/>
            <w:gridSpan w:val="4"/>
          </w:tcPr>
          <w:p>
            <w:pPr>
              <w:rPr>
                <w:rFonts w:hint="default" w:ascii="Times New Roman" w:hAnsi="Times New Roman" w:cs="Times New Roman"/>
                <w:sz w:val="18"/>
                <w:szCs w:val="18"/>
              </w:rPr>
            </w:pPr>
            <w:r>
              <w:rPr>
                <w:rFonts w:hint="default" w:ascii="Times New Roman" w:hAnsi="Times New Roman" w:cs="Times New Roman"/>
                <w:sz w:val="18"/>
                <w:szCs w:val="18"/>
              </w:rPr>
              <w:t>时间：    时   分</w:t>
            </w:r>
          </w:p>
        </w:tc>
        <w:tc>
          <w:tcPr>
            <w:tcW w:w="2793" w:type="dxa"/>
            <w:gridSpan w:val="2"/>
          </w:tcPr>
          <w:p>
            <w:pPr>
              <w:rPr>
                <w:rFonts w:hint="default" w:ascii="Times New Roman" w:hAnsi="Times New Roman" w:cs="Times New Roman"/>
                <w:sz w:val="18"/>
                <w:szCs w:val="18"/>
              </w:rPr>
            </w:pPr>
            <w:r>
              <w:rPr>
                <w:rFonts w:hint="default" w:ascii="Times New Roman" w:hAnsi="Times New Roman" w:cs="Times New Roman"/>
                <w:sz w:val="18"/>
                <w:szCs w:val="18"/>
              </w:rPr>
              <w:t>闸门开启高度：  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349" w:type="dxa"/>
            <w:vMerge w:val="continue"/>
            <w:vAlign w:val="center"/>
          </w:tcPr>
          <w:p>
            <w:pPr>
              <w:jc w:val="center"/>
              <w:rPr>
                <w:rFonts w:hint="default" w:ascii="Times New Roman" w:hAnsi="Times New Roman" w:cs="Times New Roman"/>
                <w:sz w:val="18"/>
                <w:szCs w:val="18"/>
              </w:rPr>
            </w:pPr>
          </w:p>
        </w:tc>
        <w:tc>
          <w:tcPr>
            <w:tcW w:w="2332" w:type="dxa"/>
          </w:tcPr>
          <w:p>
            <w:pPr>
              <w:rPr>
                <w:rFonts w:hint="default" w:ascii="Times New Roman" w:hAnsi="Times New Roman" w:cs="Times New Roman"/>
                <w:sz w:val="18"/>
                <w:szCs w:val="18"/>
              </w:rPr>
            </w:pPr>
            <w:r>
              <w:rPr>
                <w:rFonts w:hint="default" w:ascii="Times New Roman" w:hAnsi="Times New Roman" w:cs="Times New Roman"/>
                <w:sz w:val="18"/>
                <w:szCs w:val="18"/>
              </w:rPr>
              <w:t>流态检查</w:t>
            </w:r>
          </w:p>
        </w:tc>
        <w:tc>
          <w:tcPr>
            <w:tcW w:w="2551" w:type="dxa"/>
            <w:gridSpan w:val="4"/>
          </w:tcPr>
          <w:p>
            <w:pPr>
              <w:rPr>
                <w:rFonts w:hint="default" w:ascii="Times New Roman" w:hAnsi="Times New Roman" w:cs="Times New Roman"/>
                <w:sz w:val="18"/>
                <w:szCs w:val="18"/>
              </w:rPr>
            </w:pPr>
            <w:r>
              <w:rPr>
                <w:rFonts w:hint="default" w:ascii="Times New Roman" w:hAnsi="Times New Roman" w:cs="Times New Roman"/>
                <w:sz w:val="18"/>
                <w:szCs w:val="18"/>
              </w:rPr>
              <w:t>时间：    时   分</w:t>
            </w:r>
          </w:p>
        </w:tc>
        <w:tc>
          <w:tcPr>
            <w:tcW w:w="2793" w:type="dxa"/>
            <w:gridSpan w:val="2"/>
          </w:tcPr>
          <w:p>
            <w:pPr>
              <w:rPr>
                <w:rFonts w:hint="default" w:ascii="Times New Roman" w:hAnsi="Times New Roman" w:cs="Times New Roman"/>
                <w:sz w:val="18"/>
                <w:szCs w:val="18"/>
              </w:rPr>
            </w:pPr>
            <w:r>
              <w:rPr>
                <w:rFonts w:hint="default" w:ascii="Times New Roman" w:hAnsi="Times New Roman" w:cs="Times New Roman"/>
                <w:sz w:val="18"/>
                <w:szCs w:val="18"/>
              </w:rPr>
              <w:t>闸门开启高度：  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349" w:type="dxa"/>
            <w:vMerge w:val="continue"/>
            <w:vAlign w:val="center"/>
          </w:tcPr>
          <w:p>
            <w:pPr>
              <w:jc w:val="center"/>
              <w:rPr>
                <w:rFonts w:hint="default" w:ascii="Times New Roman" w:hAnsi="Times New Roman" w:cs="Times New Roman"/>
                <w:sz w:val="18"/>
                <w:szCs w:val="18"/>
              </w:rPr>
            </w:pPr>
          </w:p>
        </w:tc>
        <w:tc>
          <w:tcPr>
            <w:tcW w:w="2332" w:type="dxa"/>
          </w:tcPr>
          <w:p>
            <w:pPr>
              <w:rPr>
                <w:rFonts w:hint="default" w:ascii="Times New Roman" w:hAnsi="Times New Roman" w:cs="Times New Roman"/>
                <w:sz w:val="18"/>
                <w:szCs w:val="18"/>
              </w:rPr>
            </w:pPr>
            <w:r>
              <w:rPr>
                <w:rFonts w:hint="default" w:ascii="Times New Roman" w:hAnsi="Times New Roman" w:cs="Times New Roman"/>
                <w:sz w:val="18"/>
                <w:szCs w:val="18"/>
              </w:rPr>
              <w:t>开启（关闭）指定高度</w:t>
            </w:r>
          </w:p>
        </w:tc>
        <w:tc>
          <w:tcPr>
            <w:tcW w:w="2551" w:type="dxa"/>
            <w:gridSpan w:val="4"/>
          </w:tcPr>
          <w:p>
            <w:pPr>
              <w:rPr>
                <w:rFonts w:hint="default" w:ascii="Times New Roman" w:hAnsi="Times New Roman" w:cs="Times New Roman"/>
                <w:sz w:val="18"/>
                <w:szCs w:val="18"/>
              </w:rPr>
            </w:pPr>
            <w:r>
              <w:rPr>
                <w:rFonts w:hint="default" w:ascii="Times New Roman" w:hAnsi="Times New Roman" w:cs="Times New Roman"/>
                <w:sz w:val="18"/>
                <w:szCs w:val="18"/>
              </w:rPr>
              <w:t>时间：    时   分</w:t>
            </w:r>
          </w:p>
        </w:tc>
        <w:tc>
          <w:tcPr>
            <w:tcW w:w="2793" w:type="dxa"/>
            <w:gridSpan w:val="2"/>
          </w:tcPr>
          <w:p>
            <w:pPr>
              <w:rPr>
                <w:rFonts w:hint="default" w:ascii="Times New Roman" w:hAnsi="Times New Roman" w:cs="Times New Roman"/>
                <w:sz w:val="18"/>
                <w:szCs w:val="18"/>
              </w:rPr>
            </w:pPr>
            <w:r>
              <w:rPr>
                <w:rFonts w:hint="default" w:ascii="Times New Roman" w:hAnsi="Times New Roman" w:cs="Times New Roman"/>
                <w:sz w:val="18"/>
                <w:szCs w:val="18"/>
              </w:rPr>
              <w:t>闸门开启高度：  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349" w:type="dxa"/>
            <w:vMerge w:val="continue"/>
            <w:vAlign w:val="center"/>
          </w:tcPr>
          <w:p>
            <w:pPr>
              <w:jc w:val="center"/>
              <w:rPr>
                <w:rFonts w:hint="default" w:ascii="Times New Roman" w:hAnsi="Times New Roman" w:cs="Times New Roman"/>
                <w:sz w:val="18"/>
                <w:szCs w:val="18"/>
              </w:rPr>
            </w:pPr>
          </w:p>
        </w:tc>
        <w:tc>
          <w:tcPr>
            <w:tcW w:w="2332" w:type="dxa"/>
          </w:tcPr>
          <w:p>
            <w:pPr>
              <w:rPr>
                <w:rFonts w:hint="default" w:ascii="Times New Roman" w:hAnsi="Times New Roman" w:cs="Times New Roman"/>
                <w:sz w:val="18"/>
                <w:szCs w:val="18"/>
              </w:rPr>
            </w:pPr>
            <w:r>
              <w:rPr>
                <w:rFonts w:hint="default" w:ascii="Times New Roman" w:hAnsi="Times New Roman" w:cs="Times New Roman"/>
                <w:sz w:val="18"/>
                <w:szCs w:val="18"/>
              </w:rPr>
              <w:t>关闭电源</w:t>
            </w:r>
          </w:p>
        </w:tc>
        <w:tc>
          <w:tcPr>
            <w:tcW w:w="2551" w:type="dxa"/>
            <w:gridSpan w:val="4"/>
          </w:tcPr>
          <w:p>
            <w:pPr>
              <w:rPr>
                <w:rFonts w:hint="default" w:ascii="Times New Roman" w:hAnsi="Times New Roman" w:cs="Times New Roman"/>
                <w:sz w:val="18"/>
                <w:szCs w:val="18"/>
              </w:rPr>
            </w:pPr>
            <w:r>
              <w:rPr>
                <w:rFonts w:hint="default" w:ascii="Times New Roman" w:hAnsi="Times New Roman" w:cs="Times New Roman"/>
                <w:sz w:val="18"/>
                <w:szCs w:val="18"/>
              </w:rPr>
              <w:t>时间：    时   分</w:t>
            </w:r>
          </w:p>
        </w:tc>
        <w:tc>
          <w:tcPr>
            <w:tcW w:w="2793" w:type="dxa"/>
            <w:gridSpan w:val="2"/>
          </w:tcPr>
          <w:p>
            <w:pPr>
              <w:rPr>
                <w:rFonts w:hint="default" w:ascii="Times New Roman" w:hAnsi="Times New Roman" w:cs="Times New Roman"/>
                <w:sz w:val="18"/>
                <w:szCs w:val="18"/>
              </w:rPr>
            </w:pPr>
            <w:r>
              <w:rPr>
                <w:rFonts w:hint="default" w:ascii="Times New Roman" w:hAnsi="Times New Roman" w:cs="Times New Roman"/>
                <w:sz w:val="18"/>
                <w:szCs w:val="18"/>
              </w:rPr>
              <w:t>闸门开启高度：  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349" w:type="dxa"/>
            <w:vMerge w:val="restart"/>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闸门启（闭）后检查</w:t>
            </w:r>
          </w:p>
        </w:tc>
        <w:tc>
          <w:tcPr>
            <w:tcW w:w="4883" w:type="dxa"/>
            <w:gridSpan w:val="5"/>
          </w:tcPr>
          <w:p>
            <w:pPr>
              <w:rPr>
                <w:rFonts w:hint="default" w:ascii="Times New Roman" w:hAnsi="Times New Roman" w:cs="Times New Roman"/>
                <w:sz w:val="18"/>
                <w:szCs w:val="18"/>
              </w:rPr>
            </w:pPr>
            <w:r>
              <w:rPr>
                <w:rFonts w:hint="default" w:ascii="Times New Roman" w:hAnsi="Times New Roman" w:cs="Times New Roman"/>
                <w:sz w:val="18"/>
                <w:szCs w:val="18"/>
              </w:rPr>
              <w:t>启闭设备检查情况（启闭机、电气设备）</w:t>
            </w:r>
          </w:p>
        </w:tc>
        <w:tc>
          <w:tcPr>
            <w:tcW w:w="2793" w:type="dxa"/>
            <w:gridSpan w:val="2"/>
          </w:tcPr>
          <w:p>
            <w:pPr>
              <w:rPr>
                <w:rFonts w:hint="default" w:ascii="Times New Roman" w:hAnsi="Times New Roman" w:cs="Times New Roman"/>
                <w:sz w:val="18"/>
                <w:szCs w:val="18"/>
              </w:rPr>
            </w:pPr>
            <w:r>
              <w:rPr>
                <w:rFonts w:hint="default" w:ascii="Times New Roman" w:hAnsi="Times New Roman" w:cs="Times New Roman"/>
                <w:color w:val="000000"/>
                <w:kern w:val="0"/>
                <w:sz w:val="18"/>
                <w:szCs w:val="18"/>
              </w:rPr>
              <w:t>□ 正常  □ 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349" w:type="dxa"/>
            <w:vMerge w:val="continue"/>
            <w:vAlign w:val="center"/>
          </w:tcPr>
          <w:p>
            <w:pPr>
              <w:jc w:val="center"/>
              <w:rPr>
                <w:rFonts w:hint="default" w:ascii="Times New Roman" w:hAnsi="Times New Roman" w:cs="Times New Roman"/>
                <w:sz w:val="18"/>
                <w:szCs w:val="18"/>
              </w:rPr>
            </w:pPr>
          </w:p>
        </w:tc>
        <w:tc>
          <w:tcPr>
            <w:tcW w:w="4883" w:type="dxa"/>
            <w:gridSpan w:val="5"/>
          </w:tcPr>
          <w:p>
            <w:pPr>
              <w:rPr>
                <w:rFonts w:hint="default" w:ascii="Times New Roman" w:hAnsi="Times New Roman" w:cs="Times New Roman"/>
                <w:sz w:val="18"/>
                <w:szCs w:val="18"/>
              </w:rPr>
            </w:pPr>
            <w:r>
              <w:rPr>
                <w:rFonts w:hint="default" w:ascii="Times New Roman" w:hAnsi="Times New Roman" w:cs="Times New Roman"/>
                <w:sz w:val="18"/>
                <w:szCs w:val="18"/>
              </w:rPr>
              <w:t>溢流堰检查情况</w:t>
            </w:r>
          </w:p>
        </w:tc>
        <w:tc>
          <w:tcPr>
            <w:tcW w:w="2793" w:type="dxa"/>
            <w:gridSpan w:val="2"/>
          </w:tcPr>
          <w:p>
            <w:pPr>
              <w:rPr>
                <w:rFonts w:hint="default" w:ascii="Times New Roman" w:hAnsi="Times New Roman" w:cs="Times New Roman"/>
                <w:sz w:val="18"/>
                <w:szCs w:val="18"/>
              </w:rPr>
            </w:pPr>
            <w:r>
              <w:rPr>
                <w:rFonts w:hint="default" w:ascii="Times New Roman" w:hAnsi="Times New Roman" w:cs="Times New Roman"/>
                <w:color w:val="000000"/>
                <w:kern w:val="0"/>
                <w:sz w:val="18"/>
                <w:szCs w:val="18"/>
              </w:rPr>
              <w:t>□ 正常  □ 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349" w:type="dxa"/>
            <w:vMerge w:val="continue"/>
            <w:vAlign w:val="center"/>
          </w:tcPr>
          <w:p>
            <w:pPr>
              <w:jc w:val="center"/>
              <w:rPr>
                <w:rFonts w:hint="default" w:ascii="Times New Roman" w:hAnsi="Times New Roman" w:cs="Times New Roman"/>
                <w:sz w:val="18"/>
                <w:szCs w:val="18"/>
              </w:rPr>
            </w:pPr>
          </w:p>
        </w:tc>
        <w:tc>
          <w:tcPr>
            <w:tcW w:w="4883" w:type="dxa"/>
            <w:gridSpan w:val="5"/>
          </w:tcPr>
          <w:p>
            <w:pPr>
              <w:rPr>
                <w:rFonts w:hint="default" w:ascii="Times New Roman" w:hAnsi="Times New Roman" w:cs="Times New Roman"/>
                <w:sz w:val="18"/>
                <w:szCs w:val="18"/>
              </w:rPr>
            </w:pPr>
            <w:r>
              <w:rPr>
                <w:rFonts w:hint="default" w:ascii="Times New Roman" w:hAnsi="Times New Roman" w:cs="Times New Roman"/>
                <w:sz w:val="18"/>
                <w:szCs w:val="18"/>
              </w:rPr>
              <w:t>陡槽、消力池情况</w:t>
            </w:r>
          </w:p>
        </w:tc>
        <w:tc>
          <w:tcPr>
            <w:tcW w:w="2793" w:type="dxa"/>
            <w:gridSpan w:val="2"/>
          </w:tcPr>
          <w:p>
            <w:pPr>
              <w:rPr>
                <w:rFonts w:hint="default" w:ascii="Times New Roman" w:hAnsi="Times New Roman" w:cs="Times New Roman"/>
                <w:sz w:val="18"/>
                <w:szCs w:val="18"/>
              </w:rPr>
            </w:pPr>
            <w:r>
              <w:rPr>
                <w:rFonts w:hint="default" w:ascii="Times New Roman" w:hAnsi="Times New Roman" w:cs="Times New Roman"/>
                <w:color w:val="000000"/>
                <w:kern w:val="0"/>
                <w:sz w:val="18"/>
                <w:szCs w:val="18"/>
              </w:rPr>
              <w:t>□ 正常  □ 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34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操作反馈</w:t>
            </w:r>
          </w:p>
        </w:tc>
        <w:tc>
          <w:tcPr>
            <w:tcW w:w="3466" w:type="dxa"/>
            <w:gridSpan w:val="2"/>
          </w:tcPr>
          <w:p>
            <w:pPr>
              <w:rPr>
                <w:rFonts w:hint="default" w:ascii="Times New Roman" w:hAnsi="Times New Roman" w:cs="Times New Roman"/>
                <w:sz w:val="18"/>
                <w:szCs w:val="18"/>
              </w:rPr>
            </w:pPr>
            <w:r>
              <w:rPr>
                <w:rFonts w:hint="default" w:ascii="Times New Roman" w:hAnsi="Times New Roman" w:cs="Times New Roman"/>
                <w:sz w:val="18"/>
                <w:szCs w:val="18"/>
              </w:rPr>
              <w:t>向防汛值班人员报告操作情况</w:t>
            </w:r>
          </w:p>
        </w:tc>
        <w:tc>
          <w:tcPr>
            <w:tcW w:w="4210" w:type="dxa"/>
            <w:gridSpan w:val="5"/>
          </w:tcPr>
          <w:p>
            <w:pPr>
              <w:rPr>
                <w:rFonts w:hint="default" w:ascii="Times New Roman" w:hAnsi="Times New Roman" w:cs="Times New Roman"/>
                <w:sz w:val="18"/>
                <w:szCs w:val="18"/>
              </w:rPr>
            </w:pPr>
            <w:r>
              <w:rPr>
                <w:rFonts w:hint="default" w:ascii="Times New Roman" w:hAnsi="Times New Roman" w:cs="Times New Roman"/>
                <w:sz w:val="18"/>
                <w:szCs w:val="18"/>
              </w:rPr>
              <w:t>时间：      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815" w:type="dxa"/>
            <w:gridSpan w:val="3"/>
            <w:vAlign w:val="center"/>
          </w:tcPr>
          <w:p>
            <w:pPr>
              <w:ind w:firstLine="180" w:firstLineChars="100"/>
              <w:rPr>
                <w:rFonts w:hint="default" w:ascii="Times New Roman" w:hAnsi="Times New Roman" w:cs="Times New Roman"/>
                <w:sz w:val="18"/>
                <w:szCs w:val="18"/>
              </w:rPr>
            </w:pPr>
            <w:r>
              <w:rPr>
                <w:rFonts w:hint="default" w:ascii="Times New Roman" w:hAnsi="Times New Roman" w:cs="Times New Roman"/>
                <w:sz w:val="18"/>
                <w:szCs w:val="18"/>
              </w:rPr>
              <w:t>观察员1（签名）：</w:t>
            </w:r>
          </w:p>
        </w:tc>
        <w:tc>
          <w:tcPr>
            <w:tcW w:w="4210" w:type="dxa"/>
            <w:gridSpan w:val="5"/>
          </w:tcPr>
          <w:p>
            <w:pPr>
              <w:rPr>
                <w:rFonts w:hint="default" w:ascii="Times New Roman" w:hAnsi="Times New Roman" w:cs="Times New Roman"/>
                <w:sz w:val="18"/>
                <w:szCs w:val="18"/>
              </w:rPr>
            </w:pPr>
            <w:r>
              <w:rPr>
                <w:rFonts w:hint="default" w:ascii="Times New Roman" w:hAnsi="Times New Roman" w:cs="Times New Roman"/>
                <w:sz w:val="18"/>
                <w:szCs w:val="18"/>
              </w:rPr>
              <w:t>观察员2（签名）：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815" w:type="dxa"/>
            <w:gridSpan w:val="3"/>
            <w:vAlign w:val="center"/>
          </w:tcPr>
          <w:p>
            <w:pPr>
              <w:ind w:firstLine="180" w:firstLineChars="100"/>
              <w:rPr>
                <w:rFonts w:hint="default" w:ascii="Times New Roman" w:hAnsi="Times New Roman" w:cs="Times New Roman"/>
                <w:sz w:val="18"/>
                <w:szCs w:val="18"/>
              </w:rPr>
            </w:pPr>
            <w:r>
              <w:rPr>
                <w:rFonts w:hint="default" w:ascii="Times New Roman" w:hAnsi="Times New Roman" w:cs="Times New Roman"/>
                <w:sz w:val="18"/>
                <w:szCs w:val="18"/>
              </w:rPr>
              <w:t>操作人员（签名）：</w:t>
            </w:r>
          </w:p>
        </w:tc>
        <w:tc>
          <w:tcPr>
            <w:tcW w:w="4210" w:type="dxa"/>
            <w:gridSpan w:val="5"/>
          </w:tcPr>
          <w:p>
            <w:pPr>
              <w:rPr>
                <w:rFonts w:hint="default" w:ascii="Times New Roman" w:hAnsi="Times New Roman" w:cs="Times New Roman"/>
                <w:sz w:val="18"/>
                <w:szCs w:val="18"/>
              </w:rPr>
            </w:pPr>
            <w:r>
              <w:rPr>
                <w:rFonts w:hint="default" w:ascii="Times New Roman" w:hAnsi="Times New Roman" w:cs="Times New Roman"/>
                <w:sz w:val="18"/>
                <w:szCs w:val="18"/>
              </w:rPr>
              <w:t>监护人员（签名）：</w:t>
            </w:r>
          </w:p>
        </w:tc>
      </w:tr>
    </w:tbl>
    <w:p>
      <w:pPr>
        <w:widowControl/>
        <w:jc w:val="left"/>
        <w:rPr>
          <w:rFonts w:hint="default" w:ascii="Times New Roman" w:hAnsi="Times New Roman" w:cs="Times New Roman"/>
          <w:kern w:val="0"/>
        </w:rPr>
      </w:pPr>
      <w:r>
        <w:rPr>
          <w:rFonts w:hint="default" w:ascii="Times New Roman" w:hAnsi="Times New Roman" w:cs="Times New Roman"/>
        </w:rPr>
        <w:br w:type="page"/>
      </w:r>
    </w:p>
    <w:p>
      <w:pPr>
        <w:pStyle w:val="203"/>
        <w:spacing w:before="78" w:after="156"/>
        <w:rPr>
          <w:rFonts w:hint="default" w:ascii="Times New Roman" w:hAnsi="Times New Roman" w:cs="Times New Roman"/>
        </w:rPr>
      </w:pPr>
      <w:bookmarkStart w:id="395" w:name="_Toc163465949"/>
      <w:r>
        <w:rPr>
          <w:rFonts w:hint="default" w:ascii="Times New Roman" w:hAnsi="Times New Roman" w:cs="Times New Roman"/>
        </w:rPr>
        <w:t>附录H</w:t>
      </w:r>
      <w:r>
        <w:rPr>
          <w:rFonts w:hint="default" w:ascii="Times New Roman" w:hAnsi="Times New Roman" w:cs="Times New Roman"/>
        </w:rPr>
        <w:br w:type="textWrapping"/>
      </w:r>
      <w:r>
        <w:rPr>
          <w:rFonts w:hint="default" w:ascii="Times New Roman" w:hAnsi="Times New Roman" w:cs="Times New Roman"/>
        </w:rPr>
        <w:t>（资料性附录）</w:t>
      </w:r>
      <w:r>
        <w:rPr>
          <w:rFonts w:hint="default" w:ascii="Times New Roman" w:hAnsi="Times New Roman" w:cs="Times New Roman"/>
        </w:rPr>
        <w:br w:type="textWrapping"/>
      </w:r>
      <w:r>
        <w:rPr>
          <w:rFonts w:hint="default" w:ascii="Times New Roman" w:hAnsi="Times New Roman" w:cs="Times New Roman"/>
        </w:rPr>
        <w:t>物业化服务事项明细表</w:t>
      </w:r>
      <w:bookmarkEnd w:id="395"/>
    </w:p>
    <w:p>
      <w:pPr>
        <w:widowControl/>
        <w:tabs>
          <w:tab w:val="center" w:pos="4201"/>
          <w:tab w:val="right" w:leader="dot" w:pos="9298"/>
        </w:tabs>
        <w:autoSpaceDE w:val="0"/>
        <w:autoSpaceDN w:val="0"/>
        <w:ind w:firstLine="420" w:firstLineChars="200"/>
        <w:rPr>
          <w:rFonts w:hint="default" w:ascii="Times New Roman" w:hAnsi="Times New Roman" w:cs="Times New Roman"/>
          <w:kern w:val="0"/>
        </w:rPr>
      </w:pPr>
      <w:r>
        <w:rPr>
          <w:rFonts w:hint="default" w:ascii="Times New Roman" w:hAnsi="Times New Roman" w:cs="Times New Roman"/>
          <w:kern w:val="0"/>
        </w:rPr>
        <w:t>表H.1 给出了物业化服务事项明细表。</w:t>
      </w:r>
    </w:p>
    <w:p>
      <w:pPr>
        <w:widowControl/>
        <w:spacing w:beforeLines="50" w:afterLines="50"/>
        <w:jc w:val="center"/>
        <w:outlineLvl w:val="2"/>
        <w:rPr>
          <w:rFonts w:hint="default" w:ascii="Times New Roman" w:hAnsi="Times New Roman" w:eastAsia="黑体" w:cs="Times New Roman"/>
          <w:kern w:val="0"/>
        </w:rPr>
      </w:pPr>
      <w:bookmarkStart w:id="396" w:name="_Toc159919363"/>
      <w:bookmarkStart w:id="397" w:name="_Toc159919885"/>
      <w:bookmarkStart w:id="398" w:name="_Toc163465950"/>
      <w:bookmarkStart w:id="399" w:name="_Toc161410806"/>
      <w:bookmarkStart w:id="400" w:name="_Toc163461506"/>
      <w:r>
        <w:rPr>
          <w:rFonts w:hint="default" w:ascii="Times New Roman" w:hAnsi="Times New Roman" w:eastAsia="黑体" w:cs="Times New Roman"/>
          <w:kern w:val="0"/>
        </w:rPr>
        <w:t>表H.1 物业化服务事项明细表</w:t>
      </w:r>
      <w:bookmarkEnd w:id="396"/>
      <w:bookmarkEnd w:id="397"/>
      <w:bookmarkEnd w:id="398"/>
      <w:bookmarkEnd w:id="399"/>
      <w:bookmarkEnd w:id="400"/>
    </w:p>
    <w:tbl>
      <w:tblPr>
        <w:tblStyle w:val="45"/>
        <w:tblW w:w="973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7"/>
        <w:gridCol w:w="571"/>
        <w:gridCol w:w="576"/>
        <w:gridCol w:w="4671"/>
        <w:gridCol w:w="1133"/>
        <w:gridCol w:w="18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957" w:type="dxa"/>
            <w:vAlign w:val="center"/>
          </w:tcPr>
          <w:p>
            <w:pPr>
              <w:pStyle w:val="34"/>
              <w:spacing w:line="280" w:lineRule="exact"/>
              <w:ind w:firstLine="0" w:firstLineChars="0"/>
              <w:jc w:val="center"/>
              <w:rPr>
                <w:rFonts w:hint="default" w:ascii="Times New Roman" w:hAnsi="Times New Roman" w:cs="Times New Roman"/>
                <w:sz w:val="18"/>
                <w:szCs w:val="18"/>
              </w:rPr>
            </w:pPr>
            <w:bookmarkStart w:id="401" w:name="_Hlk159918599"/>
            <w:r>
              <w:rPr>
                <w:rFonts w:hint="default" w:ascii="Times New Roman" w:hAnsi="Times New Roman" w:cs="Times New Roman"/>
                <w:sz w:val="18"/>
                <w:szCs w:val="18"/>
              </w:rPr>
              <w:t>类别</w:t>
            </w:r>
          </w:p>
        </w:tc>
        <w:tc>
          <w:tcPr>
            <w:tcW w:w="1147" w:type="dxa"/>
            <w:gridSpan w:val="2"/>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事项</w:t>
            </w:r>
          </w:p>
        </w:tc>
        <w:tc>
          <w:tcPr>
            <w:tcW w:w="4671"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具体内容</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结论</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存在的问题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957" w:type="dxa"/>
            <w:vMerge w:val="restart"/>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一.组织体系</w:t>
            </w:r>
          </w:p>
        </w:tc>
        <w:tc>
          <w:tcPr>
            <w:tcW w:w="1147" w:type="dxa"/>
            <w:gridSpan w:val="2"/>
            <w:vMerge w:val="restart"/>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1.组织机构</w:t>
            </w:r>
          </w:p>
        </w:tc>
        <w:tc>
          <w:tcPr>
            <w:tcW w:w="4671" w:type="dxa"/>
            <w:vAlign w:val="center"/>
          </w:tcPr>
          <w:p>
            <w:pPr>
              <w:pStyle w:val="34"/>
              <w:spacing w:line="280" w:lineRule="exact"/>
              <w:ind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依法注册登记且具有运行维养业务相应专业技术人员、技术装备和服务能力的企事业法人单位。</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957"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1147" w:type="dxa"/>
            <w:gridSpan w:val="2"/>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4671" w:type="dxa"/>
            <w:vAlign w:val="center"/>
          </w:tcPr>
          <w:p>
            <w:pPr>
              <w:pStyle w:val="34"/>
              <w:spacing w:line="280" w:lineRule="exact"/>
              <w:ind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设置项目部，满足不超过2小时的响应时限。</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957"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1147" w:type="dxa"/>
            <w:gridSpan w:val="2"/>
            <w:vMerge w:val="restart"/>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2.岗位及人员</w:t>
            </w:r>
          </w:p>
        </w:tc>
        <w:tc>
          <w:tcPr>
            <w:tcW w:w="4671" w:type="dxa"/>
            <w:vAlign w:val="center"/>
          </w:tcPr>
          <w:p>
            <w:pPr>
              <w:pStyle w:val="34"/>
              <w:spacing w:line="280" w:lineRule="exact"/>
              <w:ind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设置负责岗位，明确岗位要求、人员配备。</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957"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1147" w:type="dxa"/>
            <w:gridSpan w:val="2"/>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4671" w:type="dxa"/>
            <w:vAlign w:val="center"/>
          </w:tcPr>
          <w:p>
            <w:pPr>
              <w:pStyle w:val="34"/>
              <w:spacing w:line="280" w:lineRule="exact"/>
              <w:ind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设置技术管理岗位，明确岗位要求、人员配备。</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957"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1147" w:type="dxa"/>
            <w:gridSpan w:val="2"/>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4671" w:type="dxa"/>
            <w:vAlign w:val="center"/>
          </w:tcPr>
          <w:p>
            <w:pPr>
              <w:pStyle w:val="34"/>
              <w:spacing w:line="280" w:lineRule="exact"/>
              <w:ind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设置运行与维护岗位，明确岗位要求、人员配备。</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957"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1147" w:type="dxa"/>
            <w:gridSpan w:val="2"/>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4671" w:type="dxa"/>
            <w:vAlign w:val="center"/>
          </w:tcPr>
          <w:p>
            <w:pPr>
              <w:pStyle w:val="34"/>
              <w:spacing w:line="280" w:lineRule="exact"/>
              <w:ind w:firstLine="0" w:firstLineChars="0"/>
              <w:jc w:val="left"/>
              <w:rPr>
                <w:rFonts w:hint="default" w:ascii="Times New Roman" w:hAnsi="Times New Roman" w:eastAsia="黑体" w:cs="Times New Roman"/>
                <w:kern w:val="2"/>
                <w:sz w:val="18"/>
                <w:szCs w:val="18"/>
              </w:rPr>
            </w:pPr>
            <w:r>
              <w:rPr>
                <w:rFonts w:hint="default" w:ascii="Times New Roman" w:hAnsi="Times New Roman" w:cs="Times New Roman"/>
                <w:sz w:val="18"/>
                <w:szCs w:val="18"/>
              </w:rPr>
              <w:t>设置辅助岗位，明确岗位要求、人员配备。</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957"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1147" w:type="dxa"/>
            <w:gridSpan w:val="2"/>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4671" w:type="dxa"/>
            <w:vAlign w:val="center"/>
          </w:tcPr>
          <w:p>
            <w:pPr>
              <w:pStyle w:val="34"/>
              <w:spacing w:line="280" w:lineRule="exact"/>
              <w:ind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人员上岗前经过岗位培训，知识、技能满足岗位要求。</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957"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1147" w:type="dxa"/>
            <w:gridSpan w:val="2"/>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4671" w:type="dxa"/>
            <w:vAlign w:val="center"/>
          </w:tcPr>
          <w:p>
            <w:pPr>
              <w:pStyle w:val="34"/>
              <w:spacing w:line="280" w:lineRule="exact"/>
              <w:ind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业务培训次数、人员满足要求。</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957"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1147" w:type="dxa"/>
            <w:gridSpan w:val="2"/>
            <w:vMerge w:val="restart"/>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3.管理制度</w:t>
            </w:r>
          </w:p>
        </w:tc>
        <w:tc>
          <w:tcPr>
            <w:tcW w:w="4671" w:type="dxa"/>
            <w:vAlign w:val="center"/>
          </w:tcPr>
          <w:p>
            <w:pPr>
              <w:pStyle w:val="34"/>
              <w:spacing w:line="280" w:lineRule="exact"/>
              <w:ind w:firstLine="0" w:firstLineChars="0"/>
              <w:jc w:val="left"/>
              <w:rPr>
                <w:rFonts w:hint="default" w:ascii="Times New Roman" w:hAnsi="Times New Roman" w:cs="Times New Roman"/>
                <w:kern w:val="2"/>
                <w:sz w:val="18"/>
                <w:szCs w:val="18"/>
              </w:rPr>
            </w:pPr>
            <w:r>
              <w:rPr>
                <w:rFonts w:hint="default" w:ascii="Times New Roman" w:hAnsi="Times New Roman" w:cs="Times New Roman"/>
                <w:sz w:val="18"/>
                <w:szCs w:val="18"/>
              </w:rPr>
              <w:t>建立安全责任制度，内容完整、要求明确。</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957"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1147" w:type="dxa"/>
            <w:gridSpan w:val="2"/>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4671" w:type="dxa"/>
            <w:vAlign w:val="center"/>
          </w:tcPr>
          <w:p>
            <w:pPr>
              <w:pStyle w:val="34"/>
              <w:spacing w:line="280" w:lineRule="exact"/>
              <w:ind w:firstLine="0" w:firstLineChars="0"/>
              <w:jc w:val="left"/>
              <w:rPr>
                <w:rFonts w:hint="default" w:ascii="Times New Roman" w:hAnsi="Times New Roman" w:cs="Times New Roman"/>
                <w:kern w:val="2"/>
                <w:sz w:val="18"/>
                <w:szCs w:val="18"/>
              </w:rPr>
            </w:pPr>
            <w:r>
              <w:rPr>
                <w:rFonts w:hint="default" w:ascii="Times New Roman" w:hAnsi="Times New Roman" w:cs="Times New Roman"/>
                <w:sz w:val="18"/>
                <w:szCs w:val="18"/>
              </w:rPr>
              <w:t>建立岗位责任制度，内容完整、要求明确。</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957"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1147" w:type="dxa"/>
            <w:gridSpan w:val="2"/>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4671" w:type="dxa"/>
            <w:vAlign w:val="center"/>
          </w:tcPr>
          <w:p>
            <w:pPr>
              <w:pStyle w:val="34"/>
              <w:spacing w:line="280" w:lineRule="exact"/>
              <w:ind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建立人员培训制度，内容完整、要求明确。</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957"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1147" w:type="dxa"/>
            <w:gridSpan w:val="2"/>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4671" w:type="dxa"/>
            <w:vAlign w:val="center"/>
          </w:tcPr>
          <w:p>
            <w:pPr>
              <w:pStyle w:val="34"/>
              <w:spacing w:line="280" w:lineRule="exact"/>
              <w:ind w:firstLine="0" w:firstLineChars="0"/>
              <w:jc w:val="left"/>
              <w:rPr>
                <w:rFonts w:hint="default" w:ascii="Times New Roman" w:hAnsi="Times New Roman" w:cs="Times New Roman"/>
                <w:kern w:val="2"/>
                <w:sz w:val="18"/>
                <w:szCs w:val="18"/>
              </w:rPr>
            </w:pPr>
            <w:r>
              <w:rPr>
                <w:rFonts w:hint="default" w:ascii="Times New Roman" w:hAnsi="Times New Roman" w:cs="Times New Roman"/>
                <w:sz w:val="18"/>
                <w:szCs w:val="18"/>
              </w:rPr>
              <w:t>建立工程检查制度，内容完整、要求明确。</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957"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1147" w:type="dxa"/>
            <w:gridSpan w:val="2"/>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4671" w:type="dxa"/>
            <w:vAlign w:val="center"/>
          </w:tcPr>
          <w:p>
            <w:pPr>
              <w:pStyle w:val="34"/>
              <w:spacing w:line="280" w:lineRule="exact"/>
              <w:ind w:firstLine="0" w:firstLineChars="0"/>
              <w:jc w:val="left"/>
              <w:rPr>
                <w:rFonts w:hint="default" w:ascii="Times New Roman" w:hAnsi="Times New Roman" w:cs="Times New Roman"/>
                <w:kern w:val="2"/>
                <w:sz w:val="18"/>
                <w:szCs w:val="18"/>
              </w:rPr>
            </w:pPr>
            <w:r>
              <w:rPr>
                <w:rFonts w:hint="default" w:ascii="Times New Roman" w:hAnsi="Times New Roman" w:cs="Times New Roman"/>
                <w:sz w:val="18"/>
                <w:szCs w:val="18"/>
              </w:rPr>
              <w:t>建立工程监测制度，内容完整、要求明确。</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957"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1147" w:type="dxa"/>
            <w:gridSpan w:val="2"/>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4671" w:type="dxa"/>
            <w:vAlign w:val="center"/>
          </w:tcPr>
          <w:p>
            <w:pPr>
              <w:pStyle w:val="34"/>
              <w:spacing w:line="280" w:lineRule="exact"/>
              <w:ind w:firstLine="0" w:firstLineChars="0"/>
              <w:jc w:val="left"/>
              <w:rPr>
                <w:rFonts w:hint="default" w:ascii="Times New Roman" w:hAnsi="Times New Roman" w:cs="Times New Roman"/>
                <w:kern w:val="2"/>
                <w:sz w:val="18"/>
                <w:szCs w:val="18"/>
              </w:rPr>
            </w:pPr>
            <w:r>
              <w:rPr>
                <w:rFonts w:hint="default" w:ascii="Times New Roman" w:hAnsi="Times New Roman" w:cs="Times New Roman"/>
                <w:sz w:val="18"/>
                <w:szCs w:val="18"/>
              </w:rPr>
              <w:t>建立维修养护制度，内容完整、要求明确。</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957"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1147" w:type="dxa"/>
            <w:gridSpan w:val="2"/>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4671" w:type="dxa"/>
            <w:vAlign w:val="center"/>
          </w:tcPr>
          <w:p>
            <w:pPr>
              <w:pStyle w:val="34"/>
              <w:spacing w:line="280" w:lineRule="exact"/>
              <w:ind w:firstLine="0" w:firstLineChars="0"/>
              <w:jc w:val="left"/>
              <w:rPr>
                <w:rFonts w:hint="default" w:ascii="Times New Roman" w:hAnsi="Times New Roman" w:cs="Times New Roman"/>
                <w:kern w:val="2"/>
                <w:sz w:val="18"/>
                <w:szCs w:val="18"/>
              </w:rPr>
            </w:pPr>
            <w:r>
              <w:rPr>
                <w:rFonts w:hint="default" w:ascii="Times New Roman" w:hAnsi="Times New Roman" w:cs="Times New Roman"/>
                <w:sz w:val="18"/>
                <w:szCs w:val="18"/>
              </w:rPr>
              <w:t>建立泄（放）水制度，内容完整、要求明确。</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957"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1147" w:type="dxa"/>
            <w:gridSpan w:val="2"/>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4671" w:type="dxa"/>
            <w:vAlign w:val="center"/>
          </w:tcPr>
          <w:p>
            <w:pPr>
              <w:pStyle w:val="34"/>
              <w:spacing w:line="280" w:lineRule="exact"/>
              <w:ind w:firstLine="0" w:firstLineChars="0"/>
              <w:jc w:val="left"/>
              <w:rPr>
                <w:rFonts w:hint="default" w:ascii="Times New Roman" w:hAnsi="Times New Roman" w:cs="Times New Roman"/>
                <w:kern w:val="2"/>
                <w:sz w:val="18"/>
                <w:szCs w:val="18"/>
              </w:rPr>
            </w:pPr>
            <w:r>
              <w:rPr>
                <w:rFonts w:hint="default" w:ascii="Times New Roman" w:hAnsi="Times New Roman" w:cs="Times New Roman"/>
                <w:sz w:val="18"/>
                <w:szCs w:val="18"/>
              </w:rPr>
              <w:t>建立应急管理制度，内容完整、要求明确。</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957"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1147" w:type="dxa"/>
            <w:gridSpan w:val="2"/>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4671" w:type="dxa"/>
            <w:vAlign w:val="center"/>
          </w:tcPr>
          <w:p>
            <w:pPr>
              <w:pStyle w:val="34"/>
              <w:spacing w:line="280" w:lineRule="exact"/>
              <w:ind w:firstLine="0" w:firstLineChars="0"/>
              <w:jc w:val="left"/>
              <w:rPr>
                <w:rFonts w:hint="default" w:ascii="Times New Roman" w:hAnsi="Times New Roman" w:cs="Times New Roman"/>
                <w:kern w:val="2"/>
                <w:sz w:val="18"/>
                <w:szCs w:val="18"/>
              </w:rPr>
            </w:pPr>
            <w:r>
              <w:rPr>
                <w:rFonts w:hint="default" w:ascii="Times New Roman" w:hAnsi="Times New Roman" w:cs="Times New Roman"/>
                <w:sz w:val="18"/>
                <w:szCs w:val="18"/>
              </w:rPr>
              <w:t>建立值班制度，内容完整、要求明确。</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957"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1147" w:type="dxa"/>
            <w:gridSpan w:val="2"/>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4671" w:type="dxa"/>
            <w:vAlign w:val="center"/>
          </w:tcPr>
          <w:p>
            <w:pPr>
              <w:pStyle w:val="34"/>
              <w:spacing w:line="280" w:lineRule="exact"/>
              <w:ind w:firstLine="0" w:firstLineChars="0"/>
              <w:jc w:val="left"/>
              <w:rPr>
                <w:rFonts w:hint="default" w:ascii="Times New Roman" w:hAnsi="Times New Roman" w:cs="Times New Roman"/>
                <w:kern w:val="2"/>
                <w:sz w:val="18"/>
                <w:szCs w:val="18"/>
              </w:rPr>
            </w:pPr>
            <w:r>
              <w:rPr>
                <w:rFonts w:hint="default" w:ascii="Times New Roman" w:hAnsi="Times New Roman" w:cs="Times New Roman"/>
                <w:sz w:val="18"/>
                <w:szCs w:val="18"/>
              </w:rPr>
              <w:t>建立报告制度，内容完整、要求明确。</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957"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1147" w:type="dxa"/>
            <w:gridSpan w:val="2"/>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4671" w:type="dxa"/>
            <w:vAlign w:val="center"/>
          </w:tcPr>
          <w:p>
            <w:pPr>
              <w:pStyle w:val="34"/>
              <w:spacing w:line="280" w:lineRule="exact"/>
              <w:ind w:firstLine="0" w:firstLineChars="0"/>
              <w:jc w:val="left"/>
              <w:rPr>
                <w:rFonts w:hint="default" w:ascii="Times New Roman" w:hAnsi="Times New Roman" w:cs="Times New Roman"/>
                <w:kern w:val="2"/>
                <w:sz w:val="18"/>
                <w:szCs w:val="18"/>
              </w:rPr>
            </w:pPr>
            <w:r>
              <w:rPr>
                <w:rFonts w:hint="default" w:ascii="Times New Roman" w:hAnsi="Times New Roman" w:cs="Times New Roman"/>
                <w:sz w:val="18"/>
                <w:szCs w:val="18"/>
              </w:rPr>
              <w:t>建立物资管理制度，内容完整、要求明确。</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957"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1147" w:type="dxa"/>
            <w:gridSpan w:val="2"/>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4671" w:type="dxa"/>
            <w:vAlign w:val="center"/>
          </w:tcPr>
          <w:p>
            <w:pPr>
              <w:pStyle w:val="34"/>
              <w:spacing w:line="280" w:lineRule="exact"/>
              <w:ind w:firstLine="0" w:firstLineChars="0"/>
              <w:jc w:val="left"/>
              <w:rPr>
                <w:rFonts w:hint="default" w:ascii="Times New Roman" w:hAnsi="Times New Roman" w:cs="Times New Roman"/>
                <w:kern w:val="2"/>
                <w:sz w:val="18"/>
                <w:szCs w:val="18"/>
              </w:rPr>
            </w:pPr>
            <w:r>
              <w:rPr>
                <w:rFonts w:hint="default" w:ascii="Times New Roman" w:hAnsi="Times New Roman" w:cs="Times New Roman"/>
                <w:sz w:val="18"/>
                <w:szCs w:val="18"/>
              </w:rPr>
              <w:t>建立档案管理制度，内容完整、要求明确。</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957"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1147" w:type="dxa"/>
            <w:gridSpan w:val="2"/>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4671" w:type="dxa"/>
            <w:vAlign w:val="center"/>
          </w:tcPr>
          <w:p>
            <w:pPr>
              <w:pStyle w:val="34"/>
              <w:spacing w:line="280" w:lineRule="exact"/>
              <w:ind w:firstLine="0" w:firstLineChars="0"/>
              <w:jc w:val="left"/>
              <w:rPr>
                <w:rFonts w:hint="default" w:ascii="Times New Roman" w:hAnsi="Times New Roman" w:cs="Times New Roman"/>
                <w:kern w:val="2"/>
                <w:sz w:val="18"/>
                <w:szCs w:val="18"/>
              </w:rPr>
            </w:pPr>
            <w:r>
              <w:rPr>
                <w:rFonts w:hint="default" w:ascii="Times New Roman" w:hAnsi="Times New Roman" w:cs="Times New Roman"/>
                <w:sz w:val="18"/>
                <w:szCs w:val="18"/>
              </w:rPr>
              <w:t>建立内部质量管理制度，内容完整、要求明确。</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957"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1147" w:type="dxa"/>
            <w:gridSpan w:val="2"/>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4671" w:type="dxa"/>
            <w:vAlign w:val="center"/>
          </w:tcPr>
          <w:p>
            <w:pPr>
              <w:pStyle w:val="34"/>
              <w:spacing w:line="280" w:lineRule="exact"/>
              <w:ind w:firstLine="0" w:firstLineChars="0"/>
              <w:jc w:val="left"/>
              <w:rPr>
                <w:rFonts w:hint="default" w:ascii="Times New Roman" w:hAnsi="Times New Roman" w:cs="Times New Roman"/>
                <w:kern w:val="2"/>
                <w:sz w:val="18"/>
                <w:szCs w:val="18"/>
              </w:rPr>
            </w:pPr>
            <w:r>
              <w:rPr>
                <w:rFonts w:hint="default" w:ascii="Times New Roman" w:hAnsi="Times New Roman" w:cs="Times New Roman"/>
                <w:sz w:val="18"/>
                <w:szCs w:val="18"/>
              </w:rPr>
              <w:t>建立人员信用评价制度，内容完整、要求明确。</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957" w:type="dxa"/>
            <w:vMerge w:val="restart"/>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二.工程状况</w:t>
            </w:r>
          </w:p>
        </w:tc>
        <w:tc>
          <w:tcPr>
            <w:tcW w:w="1147" w:type="dxa"/>
            <w:gridSpan w:val="2"/>
            <w:vMerge w:val="restart"/>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1.工程面貌与环境</w:t>
            </w:r>
          </w:p>
        </w:tc>
        <w:tc>
          <w:tcPr>
            <w:tcW w:w="4671" w:type="dxa"/>
            <w:vAlign w:val="center"/>
          </w:tcPr>
          <w:p>
            <w:pPr>
              <w:pStyle w:val="34"/>
              <w:spacing w:line="280" w:lineRule="exact"/>
              <w:ind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管理范围内不存在植物滋生、垃圾、杂物堆放等杂乱现象。</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957"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1147" w:type="dxa"/>
            <w:gridSpan w:val="2"/>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4671" w:type="dxa"/>
            <w:vAlign w:val="center"/>
          </w:tcPr>
          <w:p>
            <w:pPr>
              <w:pStyle w:val="34"/>
              <w:spacing w:line="280" w:lineRule="exact"/>
              <w:ind w:firstLine="0" w:firstLineChars="0"/>
              <w:jc w:val="left"/>
              <w:rPr>
                <w:rFonts w:hint="default" w:ascii="Times New Roman" w:hAnsi="Times New Roman" w:eastAsia="黑体" w:cs="Times New Roman"/>
                <w:kern w:val="2"/>
                <w:sz w:val="18"/>
                <w:szCs w:val="18"/>
              </w:rPr>
            </w:pPr>
            <w:r>
              <w:rPr>
                <w:rFonts w:hint="default" w:ascii="Times New Roman" w:hAnsi="Times New Roman" w:cs="Times New Roman"/>
                <w:sz w:val="18"/>
                <w:szCs w:val="18"/>
              </w:rPr>
              <w:t>管理范围内绿化区域植被完好，平整、无明显缺损。</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957"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1147" w:type="dxa"/>
            <w:gridSpan w:val="2"/>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4671" w:type="dxa"/>
            <w:vAlign w:val="center"/>
          </w:tcPr>
          <w:p>
            <w:pPr>
              <w:pStyle w:val="34"/>
              <w:spacing w:line="280" w:lineRule="exact"/>
              <w:ind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枢纽建筑物周边库面无聚集漂浮物。</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957"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571" w:type="dxa"/>
            <w:vMerge w:val="restart"/>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2.挡水建筑物</w:t>
            </w:r>
          </w:p>
        </w:tc>
        <w:tc>
          <w:tcPr>
            <w:tcW w:w="576" w:type="dxa"/>
            <w:vMerge w:val="restart"/>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土石坝</w:t>
            </w:r>
          </w:p>
        </w:tc>
        <w:tc>
          <w:tcPr>
            <w:tcW w:w="4671" w:type="dxa"/>
            <w:vAlign w:val="center"/>
          </w:tcPr>
          <w:p>
            <w:pPr>
              <w:pStyle w:val="34"/>
              <w:spacing w:line="280" w:lineRule="exact"/>
              <w:ind w:firstLine="0" w:firstLineChars="0"/>
              <w:jc w:val="left"/>
              <w:rPr>
                <w:rFonts w:hint="default" w:ascii="Times New Roman" w:hAnsi="Times New Roman" w:cs="Times New Roman"/>
                <w:sz w:val="18"/>
                <w:szCs w:val="18"/>
              </w:rPr>
            </w:pPr>
            <w:r>
              <w:rPr>
                <w:rFonts w:hint="default" w:ascii="Times New Roman" w:hAnsi="Times New Roman" w:cs="Times New Roman"/>
                <w:spacing w:val="-1"/>
                <w:sz w:val="18"/>
                <w:szCs w:val="18"/>
              </w:rPr>
              <w:t>坝顶无明显裂缝、异常变形、积水或杂草丛生等现象。</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957"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571"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576"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4671" w:type="dxa"/>
            <w:vAlign w:val="center"/>
          </w:tcPr>
          <w:p>
            <w:pPr>
              <w:pStyle w:val="34"/>
              <w:spacing w:line="280" w:lineRule="exact"/>
              <w:ind w:firstLine="0" w:firstLineChars="0"/>
              <w:jc w:val="left"/>
              <w:rPr>
                <w:rFonts w:hint="default" w:ascii="Times New Roman" w:hAnsi="Times New Roman" w:cs="Times New Roman"/>
                <w:sz w:val="18"/>
                <w:szCs w:val="18"/>
              </w:rPr>
            </w:pPr>
            <w:r>
              <w:rPr>
                <w:rFonts w:hint="default" w:ascii="Times New Roman" w:hAnsi="Times New Roman" w:cs="Times New Roman"/>
                <w:spacing w:val="-1"/>
                <w:sz w:val="18"/>
                <w:szCs w:val="18"/>
              </w:rPr>
              <w:t>防浪墙结构无开裂、松动、架空、错断和倾斜等情况。</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957"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571"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576"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4671" w:type="dxa"/>
            <w:vAlign w:val="center"/>
          </w:tcPr>
          <w:p>
            <w:pPr>
              <w:pStyle w:val="34"/>
              <w:spacing w:line="280" w:lineRule="exact"/>
              <w:ind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迎水面</w:t>
            </w:r>
            <w:r>
              <w:rPr>
                <w:rFonts w:hint="default" w:ascii="Times New Roman" w:hAnsi="Times New Roman" w:cs="Times New Roman"/>
                <w:spacing w:val="-1"/>
                <w:sz w:val="18"/>
                <w:szCs w:val="18"/>
              </w:rPr>
              <w:t>近坝水面无冒泡、变浑、漩涡等异常现象。</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957"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571"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576"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4671" w:type="dxa"/>
            <w:vAlign w:val="center"/>
          </w:tcPr>
          <w:p>
            <w:pPr>
              <w:pStyle w:val="34"/>
              <w:spacing w:line="280" w:lineRule="exact"/>
              <w:ind w:firstLine="0" w:firstLineChars="0"/>
              <w:jc w:val="left"/>
              <w:rPr>
                <w:rFonts w:hint="default" w:ascii="Times New Roman" w:hAnsi="Times New Roman" w:cs="Times New Roman"/>
                <w:sz w:val="18"/>
                <w:szCs w:val="18"/>
              </w:rPr>
            </w:pPr>
            <w:r>
              <w:rPr>
                <w:rFonts w:hint="default" w:ascii="Times New Roman" w:hAnsi="Times New Roman" w:cs="Times New Roman"/>
                <w:spacing w:val="-1"/>
                <w:sz w:val="18"/>
                <w:szCs w:val="18"/>
              </w:rPr>
              <w:t>上游混凝土面板无破损、裂缝、止水损坏等现象。</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957"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571"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576"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4671" w:type="dxa"/>
            <w:vAlign w:val="center"/>
          </w:tcPr>
          <w:p>
            <w:pPr>
              <w:pStyle w:val="34"/>
              <w:spacing w:line="280" w:lineRule="exact"/>
              <w:ind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上、下游坝坡无</w:t>
            </w:r>
            <w:r>
              <w:rPr>
                <w:rFonts w:hint="default" w:ascii="Times New Roman" w:hAnsi="Times New Roman" w:cs="Times New Roman"/>
                <w:spacing w:val="-1"/>
                <w:sz w:val="18"/>
                <w:szCs w:val="18"/>
              </w:rPr>
              <w:t>滑动、隆起、塌坑、冲刷或植物滋生等现象；护坡无块石松动、塌陷、垫层流失、架空等现象。</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957"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571"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576"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4671" w:type="dxa"/>
            <w:vAlign w:val="center"/>
          </w:tcPr>
          <w:p>
            <w:pPr>
              <w:pStyle w:val="34"/>
              <w:spacing w:line="280" w:lineRule="exact"/>
              <w:ind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下游坝坡排水体结构无缺陷、无异常渗漏，水量、</w:t>
            </w:r>
            <w:r>
              <w:rPr>
                <w:rFonts w:hint="default" w:ascii="Times New Roman" w:hAnsi="Times New Roman" w:cs="Times New Roman"/>
                <w:spacing w:val="-1"/>
                <w:sz w:val="18"/>
                <w:szCs w:val="18"/>
              </w:rPr>
              <w:t>颜色、浑浊度等无异常变化。</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957"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571"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576"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4671" w:type="dxa"/>
            <w:vAlign w:val="center"/>
          </w:tcPr>
          <w:p>
            <w:pPr>
              <w:pStyle w:val="34"/>
              <w:spacing w:line="280" w:lineRule="exact"/>
              <w:ind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坝基、坝趾近区</w:t>
            </w:r>
            <w:r>
              <w:rPr>
                <w:rFonts w:hint="default" w:ascii="Times New Roman" w:hAnsi="Times New Roman" w:cs="Times New Roman"/>
                <w:spacing w:val="-1"/>
                <w:sz w:val="18"/>
                <w:szCs w:val="18"/>
              </w:rPr>
              <w:t>无渗水、阴湿、异常变形，水量、颜色、气味及浑浊度、酸碱度、温度无异常变化。</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bookmarkEnd w:id="401"/>
    </w:tbl>
    <w:p>
      <w:pPr>
        <w:widowControl/>
        <w:spacing w:beforeLines="50" w:afterLines="50"/>
        <w:jc w:val="center"/>
        <w:outlineLvl w:val="2"/>
        <w:rPr>
          <w:rFonts w:hint="default" w:ascii="Times New Roman" w:hAnsi="Times New Roman" w:eastAsia="黑体" w:cs="Times New Roman"/>
          <w:kern w:val="0"/>
        </w:rPr>
      </w:pPr>
      <w:bookmarkStart w:id="402" w:name="_Toc161410807"/>
      <w:bookmarkStart w:id="403" w:name="_Toc159919364"/>
      <w:bookmarkStart w:id="404" w:name="_Toc163465951"/>
      <w:bookmarkStart w:id="405" w:name="_Toc159919886"/>
      <w:bookmarkStart w:id="406" w:name="_Toc161410808"/>
      <w:bookmarkStart w:id="407" w:name="_Toc159919887"/>
      <w:bookmarkStart w:id="408" w:name="_Toc159919365"/>
    </w:p>
    <w:p>
      <w:pPr>
        <w:widowControl/>
        <w:spacing w:beforeLines="50" w:afterLines="50"/>
        <w:jc w:val="center"/>
        <w:outlineLvl w:val="2"/>
        <w:rPr>
          <w:rFonts w:hint="default" w:ascii="Times New Roman" w:hAnsi="Times New Roman" w:eastAsia="黑体" w:cs="Times New Roman"/>
          <w:kern w:val="0"/>
        </w:rPr>
      </w:pPr>
      <w:r>
        <w:rPr>
          <w:rFonts w:hint="default" w:ascii="Times New Roman" w:hAnsi="Times New Roman" w:eastAsia="黑体" w:cs="Times New Roman"/>
          <w:kern w:val="0"/>
        </w:rPr>
        <w:t>表H.1 物业化服务事项明细表（续）</w:t>
      </w:r>
      <w:bookmarkEnd w:id="402"/>
      <w:bookmarkEnd w:id="403"/>
      <w:bookmarkEnd w:id="404"/>
      <w:bookmarkEnd w:id="405"/>
    </w:p>
    <w:tbl>
      <w:tblPr>
        <w:tblStyle w:val="45"/>
        <w:tblW w:w="973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6"/>
        <w:gridCol w:w="573"/>
        <w:gridCol w:w="576"/>
        <w:gridCol w:w="4670"/>
        <w:gridCol w:w="1133"/>
        <w:gridCol w:w="18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956"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类别</w:t>
            </w:r>
          </w:p>
        </w:tc>
        <w:tc>
          <w:tcPr>
            <w:tcW w:w="1149" w:type="dxa"/>
            <w:gridSpan w:val="2"/>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事项</w:t>
            </w:r>
          </w:p>
        </w:tc>
        <w:tc>
          <w:tcPr>
            <w:tcW w:w="4670"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具体内容</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结论</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存在的问题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956" w:type="dxa"/>
            <w:vMerge w:val="restart"/>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二.工程状况</w:t>
            </w:r>
          </w:p>
        </w:tc>
        <w:tc>
          <w:tcPr>
            <w:tcW w:w="573" w:type="dxa"/>
            <w:vMerge w:val="restart"/>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2.挡水建筑物</w:t>
            </w:r>
          </w:p>
        </w:tc>
        <w:tc>
          <w:tcPr>
            <w:tcW w:w="576" w:type="dxa"/>
            <w:vMerge w:val="restart"/>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土石坝</w:t>
            </w:r>
          </w:p>
        </w:tc>
        <w:tc>
          <w:tcPr>
            <w:tcW w:w="4670" w:type="dxa"/>
            <w:vAlign w:val="center"/>
          </w:tcPr>
          <w:p>
            <w:pPr>
              <w:pStyle w:val="34"/>
              <w:spacing w:line="280" w:lineRule="exact"/>
              <w:ind w:firstLine="0" w:firstLineChars="0"/>
              <w:jc w:val="left"/>
              <w:rPr>
                <w:rFonts w:hint="default" w:ascii="Times New Roman" w:hAnsi="Times New Roman" w:cs="Times New Roman"/>
                <w:sz w:val="18"/>
                <w:szCs w:val="18"/>
              </w:rPr>
            </w:pPr>
            <w:r>
              <w:rPr>
                <w:rFonts w:hint="default" w:ascii="Times New Roman" w:hAnsi="Times New Roman" w:cs="Times New Roman"/>
                <w:spacing w:val="-1"/>
                <w:sz w:val="18"/>
                <w:szCs w:val="18"/>
              </w:rPr>
              <w:t>大坝与溢洪道、输水洞（管）、两坝端面结合处附近无裂缝、错动、土体淘空、异常变形、渗漏等现象。</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956"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573"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576"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4670" w:type="dxa"/>
            <w:vAlign w:val="center"/>
          </w:tcPr>
          <w:p>
            <w:pPr>
              <w:pStyle w:val="34"/>
              <w:spacing w:line="280" w:lineRule="exact"/>
              <w:ind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大坝及近坝库区</w:t>
            </w:r>
            <w:r>
              <w:rPr>
                <w:rFonts w:hint="default" w:ascii="Times New Roman" w:hAnsi="Times New Roman" w:cs="Times New Roman"/>
                <w:spacing w:val="-1"/>
                <w:sz w:val="18"/>
                <w:szCs w:val="18"/>
              </w:rPr>
              <w:t>未发现</w:t>
            </w:r>
            <w:r>
              <w:rPr>
                <w:rFonts w:hint="default" w:ascii="Times New Roman" w:hAnsi="Times New Roman" w:cs="Times New Roman"/>
                <w:sz w:val="18"/>
                <w:szCs w:val="18"/>
              </w:rPr>
              <w:t>洞穴蚁害等危害工程问题</w:t>
            </w:r>
            <w:r>
              <w:rPr>
                <w:rFonts w:hint="default" w:ascii="Times New Roman" w:hAnsi="Times New Roman" w:cs="Times New Roman"/>
                <w:spacing w:val="-1"/>
                <w:sz w:val="18"/>
                <w:szCs w:val="18"/>
              </w:rPr>
              <w:t>。</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956"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573"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576"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4670" w:type="dxa"/>
            <w:vAlign w:val="center"/>
          </w:tcPr>
          <w:p>
            <w:pPr>
              <w:pStyle w:val="34"/>
              <w:spacing w:line="280" w:lineRule="exact"/>
              <w:ind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近坝端岸坡</w:t>
            </w:r>
            <w:r>
              <w:rPr>
                <w:rFonts w:hint="default" w:ascii="Times New Roman" w:hAnsi="Times New Roman" w:cs="Times New Roman"/>
                <w:spacing w:val="-1"/>
                <w:sz w:val="18"/>
                <w:szCs w:val="18"/>
              </w:rPr>
              <w:t>无坡面滑动迹象，</w:t>
            </w:r>
            <w:r>
              <w:rPr>
                <w:rFonts w:hint="default" w:ascii="Times New Roman" w:hAnsi="Times New Roman" w:cs="Times New Roman"/>
                <w:sz w:val="18"/>
                <w:szCs w:val="18"/>
              </w:rPr>
              <w:t>支护结构</w:t>
            </w:r>
            <w:r>
              <w:rPr>
                <w:rFonts w:hint="default" w:ascii="Times New Roman" w:hAnsi="Times New Roman" w:cs="Times New Roman"/>
                <w:spacing w:val="-1"/>
                <w:sz w:val="18"/>
                <w:szCs w:val="18"/>
              </w:rPr>
              <w:t>完好。</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956"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573"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576" w:type="dxa"/>
            <w:vMerge w:val="restart"/>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砌石坝、混凝土坝</w:t>
            </w:r>
          </w:p>
        </w:tc>
        <w:tc>
          <w:tcPr>
            <w:tcW w:w="4670" w:type="dxa"/>
            <w:vAlign w:val="center"/>
          </w:tcPr>
          <w:p>
            <w:pPr>
              <w:pStyle w:val="34"/>
              <w:spacing w:line="280" w:lineRule="exact"/>
              <w:ind w:firstLine="0" w:firstLineChars="0"/>
              <w:jc w:val="left"/>
              <w:rPr>
                <w:rFonts w:hint="default" w:ascii="Times New Roman" w:hAnsi="Times New Roman" w:cs="Times New Roman"/>
                <w:sz w:val="18"/>
                <w:szCs w:val="18"/>
              </w:rPr>
            </w:pPr>
            <w:r>
              <w:rPr>
                <w:rFonts w:hint="default" w:ascii="Times New Roman" w:hAnsi="Times New Roman" w:cs="Times New Roman"/>
                <w:spacing w:val="-1"/>
                <w:sz w:val="18"/>
                <w:szCs w:val="18"/>
              </w:rPr>
              <w:t>坝顶无明显裂缝、异常变形、积水或杂草丛生等现象；伸缩缝变形无异常。</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956"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573"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576"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4670" w:type="dxa"/>
            <w:vAlign w:val="center"/>
          </w:tcPr>
          <w:p>
            <w:pPr>
              <w:pStyle w:val="34"/>
              <w:spacing w:line="280" w:lineRule="exact"/>
              <w:ind w:firstLine="0" w:firstLineChars="0"/>
              <w:jc w:val="left"/>
              <w:rPr>
                <w:rFonts w:hint="default" w:ascii="Times New Roman" w:hAnsi="Times New Roman" w:cs="Times New Roman"/>
                <w:sz w:val="18"/>
                <w:szCs w:val="18"/>
              </w:rPr>
            </w:pPr>
            <w:r>
              <w:rPr>
                <w:rFonts w:hint="default" w:ascii="Times New Roman" w:hAnsi="Times New Roman" w:cs="Times New Roman"/>
                <w:spacing w:val="-1"/>
                <w:sz w:val="18"/>
                <w:szCs w:val="18"/>
              </w:rPr>
              <w:t>防浪墙结构无开裂、松动、架空、错断和倾斜等情况。</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956"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573"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576"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4670" w:type="dxa"/>
            <w:vAlign w:val="center"/>
          </w:tcPr>
          <w:p>
            <w:pPr>
              <w:pStyle w:val="34"/>
              <w:spacing w:line="280" w:lineRule="exact"/>
              <w:ind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迎水面</w:t>
            </w:r>
            <w:r>
              <w:rPr>
                <w:rFonts w:hint="default" w:ascii="Times New Roman" w:hAnsi="Times New Roman" w:cs="Times New Roman"/>
                <w:spacing w:val="-1"/>
                <w:sz w:val="18"/>
                <w:szCs w:val="18"/>
              </w:rPr>
              <w:t>近坝水面无冒泡、变浑、漩涡等异常现象。</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956"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573"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576"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4670" w:type="dxa"/>
            <w:vAlign w:val="center"/>
          </w:tcPr>
          <w:p>
            <w:pPr>
              <w:pStyle w:val="19"/>
              <w:adjustRightInd/>
              <w:spacing w:after="0" w:line="280" w:lineRule="exact"/>
              <w:rPr>
                <w:rFonts w:hint="default" w:ascii="Times New Roman" w:hAnsi="Times New Roman" w:cs="Times New Roman"/>
                <w:sz w:val="18"/>
                <w:szCs w:val="18"/>
              </w:rPr>
            </w:pPr>
            <w:r>
              <w:rPr>
                <w:rFonts w:hint="default" w:ascii="Times New Roman" w:hAnsi="Times New Roman" w:cs="Times New Roman"/>
                <w:sz w:val="18"/>
                <w:szCs w:val="18"/>
              </w:rPr>
              <w:t>迎水坡无明显裂缝、错动、剥蚀；伸缩缝变形无异常；止水设施工作状况正常。</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956"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573"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576"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4670" w:type="dxa"/>
            <w:vAlign w:val="center"/>
          </w:tcPr>
          <w:p>
            <w:pPr>
              <w:pStyle w:val="19"/>
              <w:adjustRightInd/>
              <w:spacing w:after="0" w:line="280" w:lineRule="exact"/>
              <w:rPr>
                <w:rFonts w:hint="default" w:ascii="Times New Roman" w:hAnsi="Times New Roman" w:cs="Times New Roman"/>
                <w:sz w:val="18"/>
                <w:szCs w:val="18"/>
              </w:rPr>
            </w:pPr>
            <w:r>
              <w:rPr>
                <w:rFonts w:hint="default" w:ascii="Times New Roman" w:hAnsi="Times New Roman" w:cs="Times New Roman"/>
                <w:sz w:val="18"/>
                <w:szCs w:val="18"/>
              </w:rPr>
              <w:t>背水坡无明显裂缝、错动、剥蚀、钙质离析、渗水；伸缩缝变形无异常。</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956"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573"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576"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4670" w:type="dxa"/>
            <w:vAlign w:val="center"/>
          </w:tcPr>
          <w:p>
            <w:pPr>
              <w:pStyle w:val="19"/>
              <w:adjustRightInd/>
              <w:spacing w:after="0" w:line="280" w:lineRule="exact"/>
              <w:rPr>
                <w:rFonts w:hint="default" w:ascii="Times New Roman" w:hAnsi="Times New Roman" w:cs="Times New Roman"/>
                <w:sz w:val="18"/>
                <w:szCs w:val="18"/>
              </w:rPr>
            </w:pPr>
            <w:r>
              <w:rPr>
                <w:rFonts w:hint="default" w:ascii="Times New Roman" w:hAnsi="Times New Roman" w:cs="Times New Roman"/>
                <w:sz w:val="18"/>
                <w:szCs w:val="18"/>
              </w:rPr>
              <w:t>廊道无明显裂缝、漏水、溶蚀、剥落等现象；伸缩缝变形无异常；止水设施工作状况正常；照明通风正常。</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956"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573"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576"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4670" w:type="dxa"/>
            <w:vAlign w:val="center"/>
          </w:tcPr>
          <w:p>
            <w:pPr>
              <w:pStyle w:val="19"/>
              <w:adjustRightInd/>
              <w:spacing w:after="0" w:line="280" w:lineRule="exact"/>
              <w:rPr>
                <w:rFonts w:hint="default" w:ascii="Times New Roman" w:hAnsi="Times New Roman" w:cs="Times New Roman"/>
                <w:sz w:val="18"/>
                <w:szCs w:val="18"/>
              </w:rPr>
            </w:pPr>
            <w:r>
              <w:rPr>
                <w:rFonts w:hint="default" w:ascii="Times New Roman" w:hAnsi="Times New Roman" w:cs="Times New Roman"/>
                <w:sz w:val="18"/>
                <w:szCs w:val="18"/>
              </w:rPr>
              <w:t>导渗、排水系统无异常；排水量、水体颜色及浑浊度无异常变化。</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956"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573"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576"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4670" w:type="dxa"/>
            <w:vAlign w:val="center"/>
          </w:tcPr>
          <w:p>
            <w:pPr>
              <w:pStyle w:val="19"/>
              <w:adjustRightInd/>
              <w:spacing w:after="0" w:line="280" w:lineRule="exact"/>
              <w:rPr>
                <w:rFonts w:hint="default" w:ascii="Times New Roman" w:hAnsi="Times New Roman" w:cs="Times New Roman"/>
                <w:sz w:val="18"/>
                <w:szCs w:val="18"/>
              </w:rPr>
            </w:pPr>
            <w:r>
              <w:rPr>
                <w:rFonts w:hint="default" w:ascii="Times New Roman" w:hAnsi="Times New Roman" w:cs="Times New Roman"/>
                <w:sz w:val="18"/>
                <w:szCs w:val="18"/>
              </w:rPr>
              <w:t>坝基、坝趾近区</w:t>
            </w:r>
            <w:r>
              <w:rPr>
                <w:rFonts w:hint="default" w:ascii="Times New Roman" w:hAnsi="Times New Roman" w:cs="Times New Roman"/>
                <w:spacing w:val="-1"/>
                <w:sz w:val="18"/>
                <w:szCs w:val="18"/>
              </w:rPr>
              <w:t>无明显渗水、阴湿、异常变形，水量、颜色、气味及浑浊度、酸碱度、温度无异常变化。</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956"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573"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576"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4670" w:type="dxa"/>
            <w:vAlign w:val="center"/>
          </w:tcPr>
          <w:p>
            <w:pPr>
              <w:pStyle w:val="19"/>
              <w:adjustRightInd/>
              <w:spacing w:after="0" w:line="280" w:lineRule="exact"/>
              <w:rPr>
                <w:rFonts w:hint="default" w:ascii="Times New Roman" w:hAnsi="Times New Roman" w:cs="Times New Roman"/>
                <w:sz w:val="18"/>
                <w:szCs w:val="18"/>
              </w:rPr>
            </w:pPr>
            <w:r>
              <w:rPr>
                <w:rFonts w:hint="default" w:ascii="Times New Roman" w:hAnsi="Times New Roman" w:cs="Times New Roman"/>
                <w:spacing w:val="-1"/>
                <w:sz w:val="18"/>
                <w:szCs w:val="18"/>
              </w:rPr>
              <w:t>大坝与溢洪道、输水洞（管）、两坝端面结合处附近无裂缝、错动、异常变形、渗漏等现象。</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956"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573"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576"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4670" w:type="dxa"/>
            <w:vAlign w:val="center"/>
          </w:tcPr>
          <w:p>
            <w:pPr>
              <w:pStyle w:val="34"/>
              <w:spacing w:line="280" w:lineRule="exact"/>
              <w:ind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近坝端岸坡</w:t>
            </w:r>
            <w:r>
              <w:rPr>
                <w:rFonts w:hint="default" w:ascii="Times New Roman" w:hAnsi="Times New Roman" w:cs="Times New Roman"/>
                <w:spacing w:val="-1"/>
                <w:sz w:val="18"/>
                <w:szCs w:val="18"/>
              </w:rPr>
              <w:t>无坡面滑动迹象，</w:t>
            </w:r>
            <w:r>
              <w:rPr>
                <w:rFonts w:hint="default" w:ascii="Times New Roman" w:hAnsi="Times New Roman" w:cs="Times New Roman"/>
                <w:sz w:val="18"/>
                <w:szCs w:val="18"/>
              </w:rPr>
              <w:t>支护结构</w:t>
            </w:r>
            <w:r>
              <w:rPr>
                <w:rFonts w:hint="default" w:ascii="Times New Roman" w:hAnsi="Times New Roman" w:cs="Times New Roman"/>
                <w:spacing w:val="-1"/>
                <w:sz w:val="18"/>
                <w:szCs w:val="18"/>
              </w:rPr>
              <w:t>完好。</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956"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1149" w:type="dxa"/>
            <w:gridSpan w:val="2"/>
            <w:vMerge w:val="restart"/>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3.溢洪道（溢流坝段）</w:t>
            </w:r>
          </w:p>
        </w:tc>
        <w:tc>
          <w:tcPr>
            <w:tcW w:w="4670" w:type="dxa"/>
            <w:vAlign w:val="center"/>
          </w:tcPr>
          <w:p>
            <w:pPr>
              <w:pStyle w:val="34"/>
              <w:spacing w:line="280" w:lineRule="exact"/>
              <w:ind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进水段无泥沙、石块、垃圾堆积、无杂草丛生等现象。</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956"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1149" w:type="dxa"/>
            <w:gridSpan w:val="2"/>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4670" w:type="dxa"/>
            <w:vAlign w:val="center"/>
          </w:tcPr>
          <w:p>
            <w:pPr>
              <w:pStyle w:val="34"/>
              <w:spacing w:line="280" w:lineRule="exact"/>
              <w:ind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两侧边坡</w:t>
            </w:r>
            <w:r>
              <w:rPr>
                <w:rFonts w:hint="default" w:ascii="Times New Roman" w:hAnsi="Times New Roman" w:cs="Times New Roman"/>
                <w:spacing w:val="-1"/>
                <w:sz w:val="18"/>
                <w:szCs w:val="18"/>
              </w:rPr>
              <w:t>无坡面滑动迹象，</w:t>
            </w:r>
            <w:r>
              <w:rPr>
                <w:rFonts w:hint="default" w:ascii="Times New Roman" w:hAnsi="Times New Roman" w:cs="Times New Roman"/>
                <w:sz w:val="18"/>
                <w:szCs w:val="18"/>
              </w:rPr>
              <w:t>支护结构</w:t>
            </w:r>
            <w:r>
              <w:rPr>
                <w:rFonts w:hint="default" w:ascii="Times New Roman" w:hAnsi="Times New Roman" w:cs="Times New Roman"/>
                <w:spacing w:val="-1"/>
                <w:sz w:val="18"/>
                <w:szCs w:val="18"/>
              </w:rPr>
              <w:t>完好。</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956"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1149" w:type="dxa"/>
            <w:gridSpan w:val="2"/>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4670" w:type="dxa"/>
            <w:vAlign w:val="center"/>
          </w:tcPr>
          <w:p>
            <w:pPr>
              <w:pStyle w:val="19"/>
              <w:adjustRightInd/>
              <w:spacing w:after="0" w:line="280" w:lineRule="exact"/>
              <w:rPr>
                <w:rFonts w:hint="default" w:ascii="Times New Roman" w:hAnsi="Times New Roman" w:cs="Times New Roman"/>
                <w:sz w:val="18"/>
                <w:szCs w:val="18"/>
              </w:rPr>
            </w:pPr>
            <w:r>
              <w:rPr>
                <w:rFonts w:hint="default" w:ascii="Times New Roman" w:hAnsi="Times New Roman" w:cs="Times New Roman"/>
                <w:sz w:val="18"/>
                <w:szCs w:val="18"/>
              </w:rPr>
              <w:t>堰顶结构无损坏；闸室结构无明显破损、裂缝、不均匀沉降、钢筋裸露等现象。</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956"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1149" w:type="dxa"/>
            <w:gridSpan w:val="2"/>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4670" w:type="dxa"/>
            <w:vAlign w:val="center"/>
          </w:tcPr>
          <w:p>
            <w:pPr>
              <w:pStyle w:val="34"/>
              <w:spacing w:line="280" w:lineRule="exact"/>
              <w:ind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溢流面无破损、开裂、混凝土脱落、渗水、植物滋生等现象。</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956"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1149" w:type="dxa"/>
            <w:gridSpan w:val="2"/>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4670" w:type="dxa"/>
            <w:vAlign w:val="center"/>
          </w:tcPr>
          <w:p>
            <w:pPr>
              <w:pStyle w:val="19"/>
              <w:adjustRightInd/>
              <w:spacing w:after="0" w:line="280" w:lineRule="exact"/>
              <w:rPr>
                <w:rFonts w:hint="default" w:ascii="Times New Roman" w:hAnsi="Times New Roman" w:cs="Times New Roman"/>
                <w:sz w:val="18"/>
                <w:szCs w:val="18"/>
              </w:rPr>
            </w:pPr>
            <w:r>
              <w:rPr>
                <w:rFonts w:hint="default" w:ascii="Times New Roman" w:hAnsi="Times New Roman" w:cs="Times New Roman"/>
                <w:sz w:val="18"/>
                <w:szCs w:val="18"/>
              </w:rPr>
              <w:t>消能工无损坏或异常、无杂草丛生等现象，状态正常。</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956"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1149" w:type="dxa"/>
            <w:gridSpan w:val="2"/>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4670" w:type="dxa"/>
            <w:vAlign w:val="center"/>
          </w:tcPr>
          <w:p>
            <w:pPr>
              <w:pStyle w:val="19"/>
              <w:adjustRightInd/>
              <w:spacing w:after="0" w:line="280" w:lineRule="exact"/>
              <w:rPr>
                <w:rFonts w:hint="default" w:ascii="Times New Roman" w:hAnsi="Times New Roman" w:cs="Times New Roman"/>
                <w:sz w:val="18"/>
                <w:szCs w:val="18"/>
              </w:rPr>
            </w:pPr>
            <w:r>
              <w:rPr>
                <w:rFonts w:hint="default" w:ascii="Times New Roman" w:hAnsi="Times New Roman" w:cs="Times New Roman"/>
                <w:sz w:val="18"/>
                <w:szCs w:val="18"/>
              </w:rPr>
              <w:t>下游河床无明显冲刷、变窄、长满杂草等现象。</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956"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1149" w:type="dxa"/>
            <w:gridSpan w:val="2"/>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4670" w:type="dxa"/>
            <w:vAlign w:val="center"/>
          </w:tcPr>
          <w:p>
            <w:pPr>
              <w:pStyle w:val="19"/>
              <w:adjustRightInd/>
              <w:spacing w:after="0" w:line="280" w:lineRule="exact"/>
              <w:rPr>
                <w:rFonts w:hint="default" w:ascii="Times New Roman" w:hAnsi="Times New Roman" w:cs="Times New Roman"/>
                <w:sz w:val="18"/>
                <w:szCs w:val="18"/>
              </w:rPr>
            </w:pPr>
            <w:r>
              <w:rPr>
                <w:rFonts w:hint="default" w:ascii="Times New Roman" w:hAnsi="Times New Roman" w:cs="Times New Roman"/>
                <w:sz w:val="18"/>
                <w:szCs w:val="18"/>
              </w:rPr>
              <w:t>工作（交通）桥结构无明显破损、裂缝、错位、不均匀沉降、钢筋裸露等现象。</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956"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1149" w:type="dxa"/>
            <w:gridSpan w:val="2"/>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4670" w:type="dxa"/>
            <w:vAlign w:val="center"/>
          </w:tcPr>
          <w:p>
            <w:pPr>
              <w:pStyle w:val="19"/>
              <w:adjustRightInd/>
              <w:spacing w:after="0" w:line="280" w:lineRule="exact"/>
              <w:rPr>
                <w:rFonts w:hint="default" w:ascii="Times New Roman" w:hAnsi="Times New Roman" w:cs="Times New Roman"/>
                <w:sz w:val="18"/>
                <w:szCs w:val="18"/>
              </w:rPr>
            </w:pPr>
            <w:r>
              <w:rPr>
                <w:rFonts w:hint="default" w:ascii="Times New Roman" w:hAnsi="Times New Roman" w:cs="Times New Roman"/>
                <w:sz w:val="18"/>
                <w:szCs w:val="18"/>
              </w:rPr>
              <w:t>闸门或阀门无明显锈蚀；门叶运转正常；止水设施完好、无渗漏水；门槽及埋设构件无缺陷。</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956"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1149" w:type="dxa"/>
            <w:gridSpan w:val="2"/>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4670" w:type="dxa"/>
            <w:vAlign w:val="center"/>
          </w:tcPr>
          <w:p>
            <w:pPr>
              <w:pStyle w:val="19"/>
              <w:adjustRightInd/>
              <w:spacing w:after="0" w:line="280" w:lineRule="exact"/>
              <w:rPr>
                <w:rFonts w:hint="default" w:ascii="Times New Roman" w:hAnsi="Times New Roman" w:cs="Times New Roman"/>
                <w:sz w:val="18"/>
                <w:szCs w:val="18"/>
              </w:rPr>
            </w:pPr>
            <w:r>
              <w:rPr>
                <w:rFonts w:hint="default" w:ascii="Times New Roman" w:hAnsi="Times New Roman" w:cs="Times New Roman"/>
                <w:sz w:val="18"/>
                <w:szCs w:val="18"/>
              </w:rPr>
              <w:t>动力及启闭机指示系统、电动机运行正常；设备零部件无损坏；启闭系统启闭正常。</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956"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1149" w:type="dxa"/>
            <w:gridSpan w:val="2"/>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4670" w:type="dxa"/>
            <w:vAlign w:val="center"/>
          </w:tcPr>
          <w:p>
            <w:pPr>
              <w:pStyle w:val="19"/>
              <w:adjustRightInd/>
              <w:spacing w:after="0" w:line="280" w:lineRule="exact"/>
              <w:rPr>
                <w:rFonts w:hint="default" w:ascii="Times New Roman" w:hAnsi="Times New Roman" w:cs="Times New Roman"/>
                <w:sz w:val="18"/>
                <w:szCs w:val="18"/>
              </w:rPr>
            </w:pPr>
            <w:r>
              <w:rPr>
                <w:rFonts w:hint="default" w:ascii="Times New Roman" w:hAnsi="Times New Roman" w:cs="Times New Roman"/>
                <w:sz w:val="18"/>
                <w:szCs w:val="18"/>
              </w:rPr>
              <w:t>供电电源运行正常，无断电记录，电路线路无老化；电柜蓄电池已及时更换。</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956"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1149" w:type="dxa"/>
            <w:gridSpan w:val="2"/>
            <w:vMerge w:val="restart"/>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4. 输（泄）水隧洞、坝体涵管</w:t>
            </w:r>
          </w:p>
        </w:tc>
        <w:tc>
          <w:tcPr>
            <w:tcW w:w="4670" w:type="dxa"/>
            <w:vAlign w:val="center"/>
          </w:tcPr>
          <w:p>
            <w:pPr>
              <w:pStyle w:val="34"/>
              <w:spacing w:line="280" w:lineRule="exact"/>
              <w:ind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引水段无泥沙、石块、垃圾堆积。</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956"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1149" w:type="dxa"/>
            <w:gridSpan w:val="2"/>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4670" w:type="dxa"/>
            <w:vAlign w:val="center"/>
          </w:tcPr>
          <w:p>
            <w:pPr>
              <w:pStyle w:val="19"/>
              <w:adjustRightInd/>
              <w:spacing w:after="0" w:line="280" w:lineRule="exact"/>
              <w:rPr>
                <w:rFonts w:hint="default" w:ascii="Times New Roman" w:hAnsi="Times New Roman" w:cs="Times New Roman"/>
                <w:sz w:val="18"/>
                <w:szCs w:val="18"/>
              </w:rPr>
            </w:pPr>
            <w:r>
              <w:rPr>
                <w:rFonts w:hint="default" w:ascii="Times New Roman" w:hAnsi="Times New Roman" w:cs="Times New Roman"/>
                <w:sz w:val="18"/>
                <w:szCs w:val="18"/>
              </w:rPr>
              <w:t>进水口畅通，无枯木、垃圾堆积；拦污栅结构完好。</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956"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1149" w:type="dxa"/>
            <w:gridSpan w:val="2"/>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4670" w:type="dxa"/>
            <w:vAlign w:val="center"/>
          </w:tcPr>
          <w:p>
            <w:pPr>
              <w:pStyle w:val="34"/>
              <w:spacing w:line="280" w:lineRule="exact"/>
              <w:ind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进水塔（竖井）结构无明显破损、裂缝、不均匀沉降、钢筋裸露等现象。</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bl>
    <w:p>
      <w:pPr>
        <w:widowControl/>
        <w:spacing w:beforeLines="50" w:afterLines="50"/>
        <w:jc w:val="center"/>
        <w:outlineLvl w:val="2"/>
        <w:rPr>
          <w:rFonts w:hint="default" w:ascii="Times New Roman" w:hAnsi="Times New Roman" w:eastAsia="黑体" w:cs="Times New Roman"/>
          <w:kern w:val="0"/>
        </w:rPr>
      </w:pPr>
    </w:p>
    <w:p>
      <w:pPr>
        <w:widowControl/>
        <w:spacing w:beforeLines="50" w:afterLines="50"/>
        <w:jc w:val="center"/>
        <w:outlineLvl w:val="2"/>
        <w:rPr>
          <w:rFonts w:hint="default" w:ascii="Times New Roman" w:hAnsi="Times New Roman" w:eastAsia="黑体" w:cs="Times New Roman"/>
          <w:kern w:val="0"/>
        </w:rPr>
      </w:pPr>
      <w:bookmarkStart w:id="409" w:name="_Toc163461507"/>
    </w:p>
    <w:p>
      <w:pPr>
        <w:widowControl/>
        <w:spacing w:beforeLines="50" w:afterLines="50"/>
        <w:jc w:val="center"/>
        <w:outlineLvl w:val="2"/>
        <w:rPr>
          <w:rFonts w:hint="default" w:ascii="Times New Roman" w:hAnsi="Times New Roman" w:eastAsia="黑体" w:cs="Times New Roman"/>
          <w:kern w:val="0"/>
        </w:rPr>
      </w:pPr>
      <w:bookmarkStart w:id="410" w:name="_Toc163465952"/>
      <w:r>
        <w:rPr>
          <w:rFonts w:hint="default" w:ascii="Times New Roman" w:hAnsi="Times New Roman" w:eastAsia="黑体" w:cs="Times New Roman"/>
          <w:kern w:val="0"/>
        </w:rPr>
        <w:t>表H.1 物业化服务事项明细表（续）</w:t>
      </w:r>
      <w:bookmarkEnd w:id="406"/>
      <w:bookmarkEnd w:id="407"/>
      <w:bookmarkEnd w:id="408"/>
      <w:bookmarkEnd w:id="409"/>
      <w:bookmarkEnd w:id="410"/>
    </w:p>
    <w:tbl>
      <w:tblPr>
        <w:tblStyle w:val="45"/>
        <w:tblW w:w="973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7"/>
        <w:gridCol w:w="571"/>
        <w:gridCol w:w="576"/>
        <w:gridCol w:w="4671"/>
        <w:gridCol w:w="1133"/>
        <w:gridCol w:w="18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957"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类别</w:t>
            </w:r>
          </w:p>
        </w:tc>
        <w:tc>
          <w:tcPr>
            <w:tcW w:w="1147" w:type="dxa"/>
            <w:gridSpan w:val="2"/>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事项</w:t>
            </w:r>
          </w:p>
        </w:tc>
        <w:tc>
          <w:tcPr>
            <w:tcW w:w="4671"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具体内容</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结论</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存在的问题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957" w:type="dxa"/>
            <w:vMerge w:val="restart"/>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二.工程状况</w:t>
            </w:r>
          </w:p>
        </w:tc>
        <w:tc>
          <w:tcPr>
            <w:tcW w:w="1147" w:type="dxa"/>
            <w:gridSpan w:val="2"/>
            <w:vMerge w:val="restart"/>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4. 输（泄）水隧洞、坝体涵管</w:t>
            </w:r>
          </w:p>
        </w:tc>
        <w:tc>
          <w:tcPr>
            <w:tcW w:w="4671" w:type="dxa"/>
            <w:vAlign w:val="center"/>
          </w:tcPr>
          <w:p>
            <w:pPr>
              <w:pStyle w:val="19"/>
              <w:adjustRightInd/>
              <w:spacing w:after="0" w:line="280" w:lineRule="exact"/>
              <w:rPr>
                <w:rFonts w:hint="default" w:ascii="Times New Roman" w:hAnsi="Times New Roman" w:cs="Times New Roman"/>
                <w:sz w:val="18"/>
                <w:szCs w:val="18"/>
              </w:rPr>
            </w:pPr>
            <w:r>
              <w:rPr>
                <w:rFonts w:hint="default" w:ascii="Times New Roman" w:hAnsi="Times New Roman" w:cs="Times New Roman"/>
                <w:sz w:val="18"/>
                <w:szCs w:val="18"/>
              </w:rPr>
              <w:t>洞（管）身无明显钢筋（钢管）锈蚀、混凝土脱落、裂缝、渗漏水等现象；洞（管）内通水顺畅。</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957"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1147" w:type="dxa"/>
            <w:gridSpan w:val="2"/>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4671" w:type="dxa"/>
            <w:vAlign w:val="center"/>
          </w:tcPr>
          <w:p>
            <w:pPr>
              <w:pStyle w:val="19"/>
              <w:adjustRightInd/>
              <w:spacing w:after="0" w:line="280" w:lineRule="exact"/>
              <w:rPr>
                <w:rFonts w:hint="default" w:ascii="Times New Roman" w:hAnsi="Times New Roman" w:cs="Times New Roman"/>
                <w:sz w:val="18"/>
                <w:szCs w:val="18"/>
              </w:rPr>
            </w:pPr>
            <w:r>
              <w:rPr>
                <w:rFonts w:hint="default" w:ascii="Times New Roman" w:hAnsi="Times New Roman" w:cs="Times New Roman"/>
                <w:sz w:val="18"/>
                <w:szCs w:val="18"/>
              </w:rPr>
              <w:t>出水口水流流态正常，无明显冲坑；防护设施完好。</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957"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1147" w:type="dxa"/>
            <w:gridSpan w:val="2"/>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4671" w:type="dxa"/>
            <w:vAlign w:val="center"/>
          </w:tcPr>
          <w:p>
            <w:pPr>
              <w:pStyle w:val="34"/>
              <w:spacing w:line="280" w:lineRule="exact"/>
              <w:ind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工作（交通）桥结构无明显破损、裂缝、错位、不均匀沉降、钢筋裸露等现象。</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957"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1147" w:type="dxa"/>
            <w:gridSpan w:val="2"/>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4671" w:type="dxa"/>
            <w:vAlign w:val="center"/>
          </w:tcPr>
          <w:p>
            <w:pPr>
              <w:pStyle w:val="19"/>
              <w:adjustRightInd/>
              <w:spacing w:after="0" w:line="280" w:lineRule="exact"/>
              <w:rPr>
                <w:rFonts w:hint="default" w:ascii="Times New Roman" w:hAnsi="Times New Roman" w:cs="Times New Roman"/>
                <w:sz w:val="18"/>
                <w:szCs w:val="18"/>
              </w:rPr>
            </w:pPr>
            <w:r>
              <w:rPr>
                <w:rFonts w:hint="default" w:ascii="Times New Roman" w:hAnsi="Times New Roman" w:cs="Times New Roman"/>
                <w:sz w:val="18"/>
                <w:szCs w:val="18"/>
              </w:rPr>
              <w:t>闸门或阀门无明显锈蚀；门叶运转正常；止水设施完好、无渗漏水；门槽及埋设构件无缺陷。</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957"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1147" w:type="dxa"/>
            <w:gridSpan w:val="2"/>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4671" w:type="dxa"/>
            <w:vAlign w:val="center"/>
          </w:tcPr>
          <w:p>
            <w:pPr>
              <w:pStyle w:val="19"/>
              <w:adjustRightInd/>
              <w:spacing w:after="0" w:line="280" w:lineRule="exact"/>
              <w:rPr>
                <w:rFonts w:hint="default" w:ascii="Times New Roman" w:hAnsi="Times New Roman" w:cs="Times New Roman"/>
                <w:sz w:val="18"/>
                <w:szCs w:val="18"/>
              </w:rPr>
            </w:pPr>
            <w:r>
              <w:rPr>
                <w:rFonts w:hint="default" w:ascii="Times New Roman" w:hAnsi="Times New Roman" w:cs="Times New Roman"/>
                <w:sz w:val="18"/>
                <w:szCs w:val="18"/>
              </w:rPr>
              <w:t>动力及启闭机指示系统、电动机运行正常；设备零部件无损坏；启闭系统启闭正常。</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957"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1147" w:type="dxa"/>
            <w:gridSpan w:val="2"/>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4671" w:type="dxa"/>
            <w:vAlign w:val="center"/>
          </w:tcPr>
          <w:p>
            <w:pPr>
              <w:pStyle w:val="19"/>
              <w:adjustRightInd/>
              <w:spacing w:after="0" w:line="280" w:lineRule="exact"/>
              <w:rPr>
                <w:rFonts w:hint="default" w:ascii="Times New Roman" w:hAnsi="Times New Roman" w:cs="Times New Roman"/>
                <w:sz w:val="18"/>
                <w:szCs w:val="18"/>
              </w:rPr>
            </w:pPr>
            <w:r>
              <w:rPr>
                <w:rFonts w:hint="default" w:ascii="Times New Roman" w:hAnsi="Times New Roman" w:cs="Times New Roman"/>
                <w:sz w:val="18"/>
                <w:szCs w:val="18"/>
              </w:rPr>
              <w:t>供电电源运行正常，无断电记录，电路线路无老化；电柜蓄电池已及时更换。</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957"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571" w:type="dxa"/>
            <w:vMerge w:val="restart"/>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5. 管理设施</w:t>
            </w:r>
          </w:p>
        </w:tc>
        <w:tc>
          <w:tcPr>
            <w:tcW w:w="576" w:type="dxa"/>
            <w:vMerge w:val="restart"/>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监测设施</w:t>
            </w:r>
          </w:p>
        </w:tc>
        <w:tc>
          <w:tcPr>
            <w:tcW w:w="4671" w:type="dxa"/>
            <w:vAlign w:val="center"/>
          </w:tcPr>
          <w:p>
            <w:pPr>
              <w:pStyle w:val="19"/>
              <w:adjustRightInd/>
              <w:spacing w:after="0" w:line="280" w:lineRule="exact"/>
              <w:rPr>
                <w:rFonts w:hint="default" w:ascii="Times New Roman" w:hAnsi="Times New Roman" w:cs="Times New Roman"/>
                <w:sz w:val="18"/>
                <w:szCs w:val="18"/>
              </w:rPr>
            </w:pPr>
            <w:r>
              <w:rPr>
                <w:rFonts w:hint="default" w:ascii="Times New Roman" w:hAnsi="Times New Roman" w:cs="Times New Roman"/>
                <w:sz w:val="18"/>
                <w:szCs w:val="18"/>
              </w:rPr>
              <w:t>水位、雨量、气温等环境量观测设施无损坏。</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957"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571"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576"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4671" w:type="dxa"/>
            <w:vAlign w:val="center"/>
          </w:tcPr>
          <w:p>
            <w:pPr>
              <w:pStyle w:val="34"/>
              <w:spacing w:line="280" w:lineRule="exact"/>
              <w:ind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变形、渗流、应力应变、温度等监测设施无损坏，工作正常。</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957"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571"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576"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4671" w:type="dxa"/>
            <w:vAlign w:val="center"/>
          </w:tcPr>
          <w:p>
            <w:pPr>
              <w:pStyle w:val="34"/>
              <w:spacing w:line="280" w:lineRule="exact"/>
              <w:ind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监测自动化系统无损坏，工作正常。</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957"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571"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576" w:type="dxa"/>
            <w:vMerge w:val="restart"/>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标识、标牌</w:t>
            </w:r>
          </w:p>
        </w:tc>
        <w:tc>
          <w:tcPr>
            <w:tcW w:w="4671" w:type="dxa"/>
            <w:vAlign w:val="center"/>
          </w:tcPr>
          <w:p>
            <w:pPr>
              <w:pStyle w:val="34"/>
              <w:spacing w:line="280" w:lineRule="exact"/>
              <w:ind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工程管理保护设施如围墙、护栏、围挡等无损坏，界碑、界牌等无损坏；</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957"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571"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576"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4671" w:type="dxa"/>
            <w:vAlign w:val="center"/>
          </w:tcPr>
          <w:p>
            <w:pPr>
              <w:widowControl/>
              <w:spacing w:line="280" w:lineRule="exact"/>
              <w:jc w:val="left"/>
              <w:rPr>
                <w:rFonts w:hint="default" w:ascii="Times New Roman" w:hAnsi="Times New Roman" w:cs="Times New Roman"/>
                <w:sz w:val="18"/>
                <w:szCs w:val="18"/>
              </w:rPr>
            </w:pPr>
            <w:r>
              <w:rPr>
                <w:rFonts w:hint="default" w:ascii="Times New Roman" w:hAnsi="Times New Roman" w:cs="Times New Roman"/>
                <w:kern w:val="0"/>
                <w:sz w:val="18"/>
                <w:szCs w:val="18"/>
              </w:rPr>
              <w:t>工程简介牌、工程建设永久责任牌、深水警示牌、巡查（视）工作线路指引牌等已设置并完好；水库责任人明确，标牌内容清晰、齐全。</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widowControl/>
              <w:spacing w:line="280" w:lineRule="exact"/>
              <w:jc w:val="left"/>
              <w:rPr>
                <w:rFonts w:hint="default" w:ascii="Times New Roman" w:hAnsi="Times New Roman" w:cs="Times New Roman"/>
                <w:color w:val="FF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957"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571"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576" w:type="dxa"/>
            <w:vMerge w:val="restart"/>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其他管理设施</w:t>
            </w:r>
          </w:p>
        </w:tc>
        <w:tc>
          <w:tcPr>
            <w:tcW w:w="4671" w:type="dxa"/>
            <w:vAlign w:val="center"/>
          </w:tcPr>
          <w:p>
            <w:pPr>
              <w:pStyle w:val="19"/>
              <w:adjustRightInd/>
              <w:spacing w:after="0" w:line="280" w:lineRule="exact"/>
              <w:rPr>
                <w:rFonts w:hint="default" w:ascii="Times New Roman" w:hAnsi="Times New Roman" w:cs="Times New Roman"/>
                <w:sz w:val="18"/>
                <w:szCs w:val="18"/>
              </w:rPr>
            </w:pPr>
            <w:r>
              <w:rPr>
                <w:rFonts w:hint="default" w:ascii="Times New Roman" w:hAnsi="Times New Roman" w:cs="Times New Roman"/>
                <w:sz w:val="18"/>
                <w:szCs w:val="18"/>
              </w:rPr>
              <w:t>视频监视、预警设施配备充足。</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957"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571"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576"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4671" w:type="dxa"/>
            <w:vAlign w:val="center"/>
          </w:tcPr>
          <w:p>
            <w:pPr>
              <w:pStyle w:val="19"/>
              <w:adjustRightInd/>
              <w:spacing w:after="0" w:line="280" w:lineRule="exact"/>
              <w:rPr>
                <w:rFonts w:hint="default" w:ascii="Times New Roman" w:hAnsi="Times New Roman" w:cs="Times New Roman"/>
                <w:sz w:val="18"/>
                <w:szCs w:val="18"/>
              </w:rPr>
            </w:pPr>
            <w:r>
              <w:rPr>
                <w:rFonts w:hint="default" w:ascii="Times New Roman" w:hAnsi="Times New Roman" w:cs="Times New Roman"/>
                <w:sz w:val="18"/>
                <w:szCs w:val="18"/>
              </w:rPr>
              <w:t>柴油发电机等备用电源工作正常。</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957"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571"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576"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4671" w:type="dxa"/>
            <w:vAlign w:val="center"/>
          </w:tcPr>
          <w:p>
            <w:pPr>
              <w:pStyle w:val="19"/>
              <w:adjustRightInd/>
              <w:spacing w:after="0" w:line="280" w:lineRule="exact"/>
              <w:rPr>
                <w:rFonts w:hint="default" w:ascii="Times New Roman" w:hAnsi="Times New Roman" w:cs="Times New Roman"/>
                <w:sz w:val="18"/>
                <w:szCs w:val="18"/>
              </w:rPr>
            </w:pPr>
            <w:r>
              <w:rPr>
                <w:rFonts w:hint="default" w:ascii="Times New Roman" w:hAnsi="Times New Roman" w:cs="Times New Roman"/>
                <w:sz w:val="18"/>
                <w:szCs w:val="18"/>
              </w:rPr>
              <w:t>应急照明设施正常运行。</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957"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571"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576"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4671" w:type="dxa"/>
            <w:vAlign w:val="center"/>
          </w:tcPr>
          <w:p>
            <w:pPr>
              <w:pStyle w:val="19"/>
              <w:adjustRightInd/>
              <w:spacing w:after="0" w:line="280" w:lineRule="exact"/>
              <w:rPr>
                <w:rFonts w:hint="default" w:ascii="Times New Roman" w:hAnsi="Times New Roman" w:cs="Times New Roman"/>
                <w:sz w:val="18"/>
                <w:szCs w:val="18"/>
              </w:rPr>
            </w:pPr>
            <w:r>
              <w:rPr>
                <w:rFonts w:hint="default" w:ascii="Times New Roman" w:hAnsi="Times New Roman" w:cs="Times New Roman"/>
                <w:sz w:val="18"/>
                <w:szCs w:val="18"/>
              </w:rPr>
              <w:t>对讲机、固定电话机、传真机等通讯设备配备充足，通讯讯号正常，能有效使用。</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957"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571"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576"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4671" w:type="dxa"/>
            <w:vAlign w:val="center"/>
          </w:tcPr>
          <w:p>
            <w:pPr>
              <w:pStyle w:val="19"/>
              <w:adjustRightInd/>
              <w:spacing w:after="0" w:line="280" w:lineRule="exact"/>
              <w:rPr>
                <w:rFonts w:hint="default" w:ascii="Times New Roman" w:hAnsi="Times New Roman" w:cs="Times New Roman"/>
                <w:sz w:val="18"/>
                <w:szCs w:val="18"/>
              </w:rPr>
            </w:pPr>
            <w:r>
              <w:rPr>
                <w:rFonts w:hint="default" w:ascii="Times New Roman" w:hAnsi="Times New Roman" w:cs="Times New Roman"/>
                <w:sz w:val="18"/>
                <w:szCs w:val="18"/>
              </w:rPr>
              <w:t>防汛道路路况能满足防汛抢险需要。</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957"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571"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576"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4671" w:type="dxa"/>
            <w:vAlign w:val="center"/>
          </w:tcPr>
          <w:p>
            <w:pPr>
              <w:pStyle w:val="34"/>
              <w:spacing w:line="280" w:lineRule="exact"/>
              <w:ind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防汛物料等应急抢险设施和设备储备充足。</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957" w:type="dxa"/>
            <w:vMerge w:val="restart"/>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三.工程检查</w:t>
            </w:r>
          </w:p>
        </w:tc>
        <w:tc>
          <w:tcPr>
            <w:tcW w:w="1147" w:type="dxa"/>
            <w:gridSpan w:val="2"/>
            <w:vMerge w:val="restart"/>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1.日常巡查</w:t>
            </w:r>
          </w:p>
        </w:tc>
        <w:tc>
          <w:tcPr>
            <w:tcW w:w="4671" w:type="dxa"/>
            <w:vAlign w:val="center"/>
          </w:tcPr>
          <w:p>
            <w:pPr>
              <w:pStyle w:val="34"/>
              <w:spacing w:line="280" w:lineRule="exact"/>
              <w:ind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巡查路线已按工程特点制定并按路线开展巡查。</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957"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1147" w:type="dxa"/>
            <w:gridSpan w:val="2"/>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4671" w:type="dxa"/>
            <w:vAlign w:val="center"/>
          </w:tcPr>
          <w:p>
            <w:pPr>
              <w:pStyle w:val="34"/>
              <w:spacing w:line="280" w:lineRule="exact"/>
              <w:ind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巡查频次符合标准要求。</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957"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1147" w:type="dxa"/>
            <w:gridSpan w:val="2"/>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4671" w:type="dxa"/>
            <w:vAlign w:val="center"/>
          </w:tcPr>
          <w:p>
            <w:pPr>
              <w:pStyle w:val="34"/>
              <w:spacing w:line="280" w:lineRule="exact"/>
              <w:ind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检查内容全面、重点突出，检查方法正确。</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957"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1147" w:type="dxa"/>
            <w:gridSpan w:val="2"/>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4671" w:type="dxa"/>
            <w:vAlign w:val="center"/>
          </w:tcPr>
          <w:p>
            <w:pPr>
              <w:pStyle w:val="34"/>
              <w:spacing w:line="280" w:lineRule="exact"/>
              <w:ind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检查记录完整、全面、准确。</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957"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1147" w:type="dxa"/>
            <w:gridSpan w:val="2"/>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4671" w:type="dxa"/>
            <w:vAlign w:val="center"/>
          </w:tcPr>
          <w:p>
            <w:pPr>
              <w:pStyle w:val="34"/>
              <w:spacing w:line="280" w:lineRule="exact"/>
              <w:ind w:firstLine="0" w:firstLineChars="0"/>
              <w:jc w:val="left"/>
              <w:rPr>
                <w:rFonts w:hint="default" w:ascii="Times New Roman" w:hAnsi="Times New Roman" w:eastAsia="黑体" w:cs="Times New Roman"/>
                <w:kern w:val="2"/>
                <w:sz w:val="18"/>
                <w:szCs w:val="18"/>
              </w:rPr>
            </w:pPr>
            <w:r>
              <w:rPr>
                <w:rFonts w:hint="default" w:ascii="Times New Roman" w:hAnsi="Times New Roman" w:cs="Times New Roman"/>
                <w:sz w:val="18"/>
                <w:szCs w:val="18"/>
              </w:rPr>
              <w:t>检查发现的问题，按制度要求及时逐级报告并落实相应处理措施。</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957"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1147" w:type="dxa"/>
            <w:gridSpan w:val="2"/>
            <w:vMerge w:val="restart"/>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2.汛前检查、年度检查、特别检查</w:t>
            </w:r>
          </w:p>
        </w:tc>
        <w:tc>
          <w:tcPr>
            <w:tcW w:w="4671" w:type="dxa"/>
            <w:vAlign w:val="center"/>
          </w:tcPr>
          <w:p>
            <w:pPr>
              <w:pStyle w:val="34"/>
              <w:spacing w:line="280" w:lineRule="exact"/>
              <w:ind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根据委托合同要求提供技术支持。</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957"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1147" w:type="dxa"/>
            <w:gridSpan w:val="2"/>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4671" w:type="dxa"/>
            <w:vAlign w:val="center"/>
          </w:tcPr>
          <w:p>
            <w:pPr>
              <w:pStyle w:val="34"/>
              <w:spacing w:line="280" w:lineRule="exact"/>
              <w:ind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检查内容全面、重点突出，检查方法正确，检查记录完整、全面、准确。</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957" w:type="dxa"/>
            <w:vMerge w:val="restart"/>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四、安全监测</w:t>
            </w:r>
          </w:p>
        </w:tc>
        <w:tc>
          <w:tcPr>
            <w:tcW w:w="1147" w:type="dxa"/>
            <w:gridSpan w:val="2"/>
            <w:vMerge w:val="restart"/>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1.环境量监测</w:t>
            </w:r>
          </w:p>
        </w:tc>
        <w:tc>
          <w:tcPr>
            <w:tcW w:w="4671" w:type="dxa"/>
            <w:vAlign w:val="center"/>
          </w:tcPr>
          <w:p>
            <w:pPr>
              <w:pStyle w:val="34"/>
              <w:spacing w:line="280" w:lineRule="exact"/>
              <w:ind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上、下游水位、溢流水深、雨量、气温测报频次符合要求。</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957"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1147" w:type="dxa"/>
            <w:gridSpan w:val="2"/>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4671" w:type="dxa"/>
            <w:vAlign w:val="center"/>
          </w:tcPr>
          <w:p>
            <w:pPr>
              <w:pStyle w:val="34"/>
              <w:spacing w:line="280" w:lineRule="exact"/>
              <w:ind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上、下游水位、溢流水深、雨量、气温等测报过程符合要求，成果准确。</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bl>
    <w:p>
      <w:pPr>
        <w:widowControl/>
        <w:spacing w:beforeLines="50" w:afterLines="50"/>
        <w:jc w:val="center"/>
        <w:outlineLvl w:val="2"/>
        <w:rPr>
          <w:rFonts w:hint="default" w:ascii="Times New Roman" w:hAnsi="Times New Roman" w:eastAsia="黑体" w:cs="Times New Roman"/>
          <w:kern w:val="0"/>
        </w:rPr>
      </w:pPr>
      <w:bookmarkStart w:id="411" w:name="_Toc161410809"/>
      <w:bookmarkStart w:id="412" w:name="_Toc159919888"/>
      <w:bookmarkStart w:id="413" w:name="_Toc159919366"/>
    </w:p>
    <w:p>
      <w:pPr>
        <w:widowControl/>
        <w:spacing w:beforeLines="50" w:afterLines="50"/>
        <w:jc w:val="center"/>
        <w:outlineLvl w:val="2"/>
        <w:rPr>
          <w:rFonts w:hint="default" w:ascii="Times New Roman" w:hAnsi="Times New Roman" w:eastAsia="黑体" w:cs="Times New Roman"/>
          <w:kern w:val="0"/>
        </w:rPr>
      </w:pPr>
      <w:bookmarkStart w:id="414" w:name="_Toc163461508"/>
      <w:bookmarkStart w:id="415" w:name="_Toc163465953"/>
    </w:p>
    <w:p>
      <w:pPr>
        <w:widowControl/>
        <w:spacing w:beforeLines="50" w:afterLines="50"/>
        <w:jc w:val="center"/>
        <w:outlineLvl w:val="2"/>
        <w:rPr>
          <w:rFonts w:hint="default" w:ascii="Times New Roman" w:hAnsi="Times New Roman" w:eastAsia="黑体" w:cs="Times New Roman"/>
          <w:kern w:val="0"/>
        </w:rPr>
      </w:pPr>
      <w:r>
        <w:rPr>
          <w:rFonts w:hint="default" w:ascii="Times New Roman" w:hAnsi="Times New Roman" w:eastAsia="黑体" w:cs="Times New Roman"/>
          <w:kern w:val="0"/>
        </w:rPr>
        <w:t>表H.1 物业化服务事项明细表（续）</w:t>
      </w:r>
      <w:bookmarkEnd w:id="411"/>
      <w:bookmarkEnd w:id="412"/>
      <w:bookmarkEnd w:id="413"/>
      <w:bookmarkEnd w:id="414"/>
      <w:bookmarkEnd w:id="415"/>
    </w:p>
    <w:tbl>
      <w:tblPr>
        <w:tblStyle w:val="45"/>
        <w:tblW w:w="973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7"/>
        <w:gridCol w:w="1147"/>
        <w:gridCol w:w="4671"/>
        <w:gridCol w:w="1133"/>
        <w:gridCol w:w="18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957"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类别</w:t>
            </w:r>
          </w:p>
        </w:tc>
        <w:tc>
          <w:tcPr>
            <w:tcW w:w="1147"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事项</w:t>
            </w:r>
          </w:p>
        </w:tc>
        <w:tc>
          <w:tcPr>
            <w:tcW w:w="4671"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具体内容</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结论</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存在的问题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957" w:type="dxa"/>
            <w:vMerge w:val="restart"/>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四、安全监测</w:t>
            </w:r>
          </w:p>
        </w:tc>
        <w:tc>
          <w:tcPr>
            <w:tcW w:w="1147" w:type="dxa"/>
            <w:vMerge w:val="restart"/>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2.安全监测</w:t>
            </w:r>
          </w:p>
        </w:tc>
        <w:tc>
          <w:tcPr>
            <w:tcW w:w="4671" w:type="dxa"/>
            <w:vAlign w:val="center"/>
          </w:tcPr>
          <w:p>
            <w:pPr>
              <w:pStyle w:val="34"/>
              <w:spacing w:line="280" w:lineRule="exact"/>
              <w:ind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监测设施考证资料完整、准确，并装订成册。</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957"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1147"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4671" w:type="dxa"/>
            <w:vAlign w:val="center"/>
          </w:tcPr>
          <w:p>
            <w:pPr>
              <w:pStyle w:val="34"/>
              <w:spacing w:line="280" w:lineRule="exact"/>
              <w:ind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监测人员、仪器、时间、频次符合“四固定”原则。</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957"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1147"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4671" w:type="dxa"/>
            <w:vAlign w:val="center"/>
          </w:tcPr>
          <w:p>
            <w:pPr>
              <w:pStyle w:val="34"/>
              <w:spacing w:line="280" w:lineRule="exact"/>
              <w:ind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监测人员符合岗位要求。</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957"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1147"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4671" w:type="dxa"/>
            <w:vAlign w:val="center"/>
          </w:tcPr>
          <w:p>
            <w:pPr>
              <w:pStyle w:val="34"/>
              <w:spacing w:line="280" w:lineRule="exact"/>
              <w:ind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监测仪器按规定定期校准。</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957"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1147"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4671" w:type="dxa"/>
            <w:vAlign w:val="center"/>
          </w:tcPr>
          <w:p>
            <w:pPr>
              <w:pStyle w:val="34"/>
              <w:spacing w:line="280" w:lineRule="exact"/>
              <w:ind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监测方法、精度满足规范要求。</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957"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1147"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4671" w:type="dxa"/>
            <w:vAlign w:val="center"/>
          </w:tcPr>
          <w:p>
            <w:pPr>
              <w:pStyle w:val="34"/>
              <w:spacing w:line="280" w:lineRule="exact"/>
              <w:ind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监测记录规范，及时进行了对比分析。</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957"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1147"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4671" w:type="dxa"/>
            <w:vAlign w:val="center"/>
          </w:tcPr>
          <w:p>
            <w:pPr>
              <w:pStyle w:val="34"/>
              <w:spacing w:line="280" w:lineRule="exact"/>
              <w:ind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监测数据可靠，异常时立即进行了分析、复测。</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957"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1147"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4671" w:type="dxa"/>
            <w:vAlign w:val="center"/>
          </w:tcPr>
          <w:p>
            <w:pPr>
              <w:pStyle w:val="34"/>
              <w:spacing w:line="280" w:lineRule="exact"/>
              <w:ind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自动化监测数据按3 个月不小于1 次备份。</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957"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1147"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4671" w:type="dxa"/>
            <w:vAlign w:val="center"/>
          </w:tcPr>
          <w:p>
            <w:pPr>
              <w:pStyle w:val="34"/>
              <w:spacing w:line="280" w:lineRule="exact"/>
              <w:ind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自动化监测项目按每年不小于1 次进行人工比测、校正和校准。</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957"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1147"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4671" w:type="dxa"/>
            <w:vAlign w:val="center"/>
          </w:tcPr>
          <w:p>
            <w:pPr>
              <w:pStyle w:val="34"/>
              <w:spacing w:line="280" w:lineRule="exact"/>
              <w:ind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监测资料每年进行1 次整编分析，每5年至少进行1次系统整编分析。</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957"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1147"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4671" w:type="dxa"/>
            <w:vAlign w:val="center"/>
          </w:tcPr>
          <w:p>
            <w:pPr>
              <w:pStyle w:val="34"/>
              <w:spacing w:line="280" w:lineRule="exact"/>
              <w:ind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监测资料整编分析成果满足规范要求。</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957" w:type="dxa"/>
            <w:vMerge w:val="restart"/>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五、白蚁危害检查</w:t>
            </w:r>
          </w:p>
        </w:tc>
        <w:tc>
          <w:tcPr>
            <w:tcW w:w="1147" w:type="dxa"/>
            <w:vMerge w:val="restart"/>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1.日常检查</w:t>
            </w:r>
          </w:p>
        </w:tc>
        <w:tc>
          <w:tcPr>
            <w:tcW w:w="4671" w:type="dxa"/>
            <w:vAlign w:val="center"/>
          </w:tcPr>
          <w:p>
            <w:pPr>
              <w:pStyle w:val="34"/>
              <w:spacing w:line="280" w:lineRule="exact"/>
              <w:ind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检查频次符合标准要求。</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957"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1147"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4671" w:type="dxa"/>
            <w:vAlign w:val="center"/>
          </w:tcPr>
          <w:p>
            <w:pPr>
              <w:pStyle w:val="34"/>
              <w:spacing w:line="280" w:lineRule="exact"/>
              <w:ind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检查范围及内容全面、重点突出，检查方法正确。</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957"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1147"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4671" w:type="dxa"/>
            <w:vAlign w:val="center"/>
          </w:tcPr>
          <w:p>
            <w:pPr>
              <w:pStyle w:val="34"/>
              <w:spacing w:line="280" w:lineRule="exact"/>
              <w:ind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检查记录完整、全面、准确。</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957"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1147"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4671" w:type="dxa"/>
            <w:vAlign w:val="center"/>
          </w:tcPr>
          <w:p>
            <w:pPr>
              <w:pStyle w:val="34"/>
              <w:spacing w:line="280" w:lineRule="exact"/>
              <w:ind w:firstLine="0" w:firstLineChars="0"/>
              <w:jc w:val="left"/>
              <w:rPr>
                <w:rFonts w:hint="default" w:ascii="Times New Roman" w:hAnsi="Times New Roman" w:eastAsia="黑体" w:cs="Times New Roman"/>
                <w:kern w:val="2"/>
                <w:sz w:val="18"/>
                <w:szCs w:val="18"/>
              </w:rPr>
            </w:pPr>
            <w:r>
              <w:rPr>
                <w:rFonts w:hint="default" w:ascii="Times New Roman" w:hAnsi="Times New Roman" w:cs="Times New Roman"/>
                <w:sz w:val="18"/>
                <w:szCs w:val="18"/>
              </w:rPr>
              <w:t>检查发现有白蚁危害时，按制度要求及时逐级报告并落实相应处理措施。</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957"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1147"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2.定期普查</w:t>
            </w:r>
          </w:p>
        </w:tc>
        <w:tc>
          <w:tcPr>
            <w:tcW w:w="4671" w:type="dxa"/>
            <w:vAlign w:val="center"/>
          </w:tcPr>
          <w:p>
            <w:pPr>
              <w:pStyle w:val="34"/>
              <w:spacing w:line="280" w:lineRule="exact"/>
              <w:ind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根据委托合同，开展检查、防治及验收。</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957" w:type="dxa"/>
            <w:vMerge w:val="restart"/>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六.维修养护</w:t>
            </w:r>
          </w:p>
        </w:tc>
        <w:tc>
          <w:tcPr>
            <w:tcW w:w="1147" w:type="dxa"/>
            <w:vMerge w:val="restart"/>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1.水工建筑物</w:t>
            </w:r>
          </w:p>
        </w:tc>
        <w:tc>
          <w:tcPr>
            <w:tcW w:w="4671" w:type="dxa"/>
            <w:vAlign w:val="center"/>
          </w:tcPr>
          <w:p>
            <w:pPr>
              <w:pStyle w:val="34"/>
              <w:spacing w:line="280" w:lineRule="exact"/>
              <w:ind w:firstLine="0" w:firstLineChars="0"/>
              <w:jc w:val="left"/>
              <w:rPr>
                <w:rFonts w:hint="default" w:ascii="Times New Roman" w:hAnsi="Times New Roman" w:eastAsia="黑体" w:cs="Times New Roman"/>
                <w:kern w:val="2"/>
                <w:sz w:val="18"/>
                <w:szCs w:val="18"/>
              </w:rPr>
            </w:pPr>
            <w:r>
              <w:rPr>
                <w:rFonts w:hint="default" w:ascii="Times New Roman" w:hAnsi="Times New Roman" w:cs="Times New Roman"/>
                <w:sz w:val="18"/>
                <w:szCs w:val="18"/>
              </w:rPr>
              <w:t>按时完成工程保养、缺陷修复。</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957"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1147"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4671" w:type="dxa"/>
            <w:vAlign w:val="center"/>
          </w:tcPr>
          <w:p>
            <w:pPr>
              <w:pStyle w:val="34"/>
              <w:spacing w:line="280" w:lineRule="exact"/>
              <w:ind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堵塞、淤积、杂物、杂草、垃圾等及时清除。</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957"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1147"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2.金属结构、机电设备</w:t>
            </w:r>
          </w:p>
        </w:tc>
        <w:tc>
          <w:tcPr>
            <w:tcW w:w="4671" w:type="dxa"/>
            <w:vAlign w:val="center"/>
          </w:tcPr>
          <w:p>
            <w:pPr>
              <w:pStyle w:val="34"/>
              <w:spacing w:line="280" w:lineRule="exact"/>
              <w:ind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根据委托合同，按时完成保养，受损构件、设备部件及时更换。</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957"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1147" w:type="dxa"/>
            <w:vMerge w:val="restart"/>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3.管理设施</w:t>
            </w:r>
          </w:p>
        </w:tc>
        <w:tc>
          <w:tcPr>
            <w:tcW w:w="4671" w:type="dxa"/>
            <w:vAlign w:val="center"/>
          </w:tcPr>
          <w:p>
            <w:pPr>
              <w:pStyle w:val="34"/>
              <w:spacing w:line="280" w:lineRule="exact"/>
              <w:ind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根据委托合同，及时修复或更换监测设施。</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957"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1147"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4671" w:type="dxa"/>
            <w:vAlign w:val="center"/>
          </w:tcPr>
          <w:p>
            <w:pPr>
              <w:pStyle w:val="34"/>
              <w:spacing w:line="280" w:lineRule="exact"/>
              <w:ind w:firstLine="0" w:firstLineChars="0"/>
              <w:jc w:val="left"/>
              <w:rPr>
                <w:rFonts w:hint="default" w:ascii="Times New Roman" w:hAnsi="Times New Roman" w:cs="Times New Roman"/>
              </w:rPr>
            </w:pPr>
            <w:r>
              <w:rPr>
                <w:rFonts w:hint="default" w:ascii="Times New Roman" w:hAnsi="Times New Roman" w:cs="Times New Roman"/>
                <w:sz w:val="18"/>
                <w:szCs w:val="18"/>
              </w:rPr>
              <w:t>根据委托合同，及时修复或更换标识、标牌。</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957"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1147"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4671" w:type="dxa"/>
            <w:vAlign w:val="center"/>
          </w:tcPr>
          <w:p>
            <w:pPr>
              <w:pStyle w:val="34"/>
              <w:spacing w:line="280" w:lineRule="exact"/>
              <w:ind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根据委托合同，及时补充、修复或更换其他管理设施。</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957"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1147" w:type="dxa"/>
            <w:vMerge w:val="restart"/>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4.环境面貌</w:t>
            </w:r>
          </w:p>
        </w:tc>
        <w:tc>
          <w:tcPr>
            <w:tcW w:w="4671" w:type="dxa"/>
            <w:vAlign w:val="center"/>
          </w:tcPr>
          <w:p>
            <w:pPr>
              <w:pStyle w:val="34"/>
              <w:spacing w:line="280" w:lineRule="exact"/>
              <w:ind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根据委托合同，按时进行库面漂浮物清理。</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957"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1147"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4671" w:type="dxa"/>
            <w:vAlign w:val="center"/>
          </w:tcPr>
          <w:p>
            <w:pPr>
              <w:pStyle w:val="34"/>
              <w:spacing w:line="280" w:lineRule="exact"/>
              <w:ind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根据委托合同，进行管理范围内保洁、及时清除杂草、定期修剪、松土、施肥及病虫害防治等，覆盖率不满足要求时适时补植。</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957"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1147"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5.维养记录</w:t>
            </w:r>
          </w:p>
        </w:tc>
        <w:tc>
          <w:tcPr>
            <w:tcW w:w="4671" w:type="dxa"/>
            <w:vAlign w:val="center"/>
          </w:tcPr>
          <w:p>
            <w:pPr>
              <w:pStyle w:val="34"/>
              <w:spacing w:line="280" w:lineRule="exact"/>
              <w:ind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台账记录完整详细，并由相关负责人签字。</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957" w:type="dxa"/>
            <w:vMerge w:val="restart"/>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七.泄（放）水操作</w:t>
            </w:r>
          </w:p>
        </w:tc>
        <w:tc>
          <w:tcPr>
            <w:tcW w:w="1147"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1.操作规程</w:t>
            </w:r>
          </w:p>
        </w:tc>
        <w:tc>
          <w:tcPr>
            <w:tcW w:w="4671" w:type="dxa"/>
            <w:vAlign w:val="center"/>
          </w:tcPr>
          <w:p>
            <w:pPr>
              <w:pStyle w:val="34"/>
              <w:spacing w:line="280" w:lineRule="exact"/>
              <w:ind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根据机电设备、放水设施等特性制定运行操作规程，并在操作岗位醒目位置上墙明示。</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957"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1147" w:type="dxa"/>
            <w:vMerge w:val="restart"/>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2.闸（阀）门操作</w:t>
            </w:r>
          </w:p>
        </w:tc>
        <w:tc>
          <w:tcPr>
            <w:tcW w:w="4671" w:type="dxa"/>
            <w:vAlign w:val="center"/>
          </w:tcPr>
          <w:p>
            <w:pPr>
              <w:pStyle w:val="34"/>
              <w:spacing w:line="280" w:lineRule="exact"/>
              <w:ind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按照授权开展操作；用于防洪调度的闸门由专人操作。</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957"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1147"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4671" w:type="dxa"/>
            <w:vAlign w:val="center"/>
          </w:tcPr>
          <w:p>
            <w:pPr>
              <w:pStyle w:val="34"/>
              <w:spacing w:line="280" w:lineRule="exact"/>
              <w:ind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闸门启闭前，检查闸门、启闭设备及各水工建筑物有无异常，并做好设备运行记录。</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957"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1147"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4671" w:type="dxa"/>
            <w:vAlign w:val="center"/>
          </w:tcPr>
          <w:p>
            <w:pPr>
              <w:pStyle w:val="34"/>
              <w:spacing w:line="280" w:lineRule="exact"/>
              <w:ind w:firstLine="0" w:firstLineChars="0"/>
              <w:jc w:val="left"/>
              <w:rPr>
                <w:rFonts w:hint="default" w:ascii="Times New Roman" w:hAnsi="Times New Roman" w:cs="Times New Roman"/>
              </w:rPr>
            </w:pPr>
            <w:r>
              <w:rPr>
                <w:rFonts w:hint="default" w:ascii="Times New Roman" w:hAnsi="Times New Roman" w:cs="Times New Roman"/>
                <w:sz w:val="18"/>
                <w:szCs w:val="18"/>
              </w:rPr>
              <w:t>闸门等设备操作完成后，向下达操作指令的相关人员书面报告操作情况。</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bl>
    <w:p>
      <w:pPr>
        <w:widowControl/>
        <w:spacing w:beforeLines="50" w:afterLines="50"/>
        <w:jc w:val="center"/>
        <w:outlineLvl w:val="2"/>
        <w:rPr>
          <w:rFonts w:hint="default" w:ascii="Times New Roman" w:hAnsi="Times New Roman" w:eastAsia="黑体" w:cs="Times New Roman"/>
          <w:kern w:val="0"/>
        </w:rPr>
      </w:pPr>
      <w:bookmarkStart w:id="416" w:name="_Toc161410810"/>
      <w:bookmarkStart w:id="417" w:name="_Toc163465954"/>
      <w:bookmarkStart w:id="418" w:name="_Toc163461509"/>
      <w:bookmarkStart w:id="419" w:name="_Toc159919367"/>
      <w:bookmarkStart w:id="420" w:name="_Toc159919889"/>
    </w:p>
    <w:p>
      <w:pPr>
        <w:widowControl/>
        <w:spacing w:beforeLines="50" w:afterLines="50"/>
        <w:jc w:val="center"/>
        <w:outlineLvl w:val="2"/>
        <w:rPr>
          <w:rFonts w:hint="default" w:ascii="Times New Roman" w:hAnsi="Times New Roman" w:eastAsia="黑体" w:cs="Times New Roman"/>
          <w:kern w:val="0"/>
        </w:rPr>
      </w:pPr>
      <w:r>
        <w:rPr>
          <w:rFonts w:hint="default" w:ascii="Times New Roman" w:hAnsi="Times New Roman" w:eastAsia="黑体" w:cs="Times New Roman"/>
          <w:kern w:val="0"/>
        </w:rPr>
        <w:t>表H.1 物业化服务事项明细表（续）</w:t>
      </w:r>
      <w:bookmarkEnd w:id="416"/>
      <w:bookmarkEnd w:id="417"/>
      <w:bookmarkEnd w:id="418"/>
      <w:bookmarkEnd w:id="419"/>
      <w:bookmarkEnd w:id="420"/>
    </w:p>
    <w:tbl>
      <w:tblPr>
        <w:tblStyle w:val="45"/>
        <w:tblW w:w="973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7"/>
        <w:gridCol w:w="1147"/>
        <w:gridCol w:w="4671"/>
        <w:gridCol w:w="1133"/>
        <w:gridCol w:w="18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957"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类别</w:t>
            </w:r>
          </w:p>
        </w:tc>
        <w:tc>
          <w:tcPr>
            <w:tcW w:w="1147"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事项</w:t>
            </w:r>
          </w:p>
        </w:tc>
        <w:tc>
          <w:tcPr>
            <w:tcW w:w="4671"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具体内容</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结论</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存在的问题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957" w:type="dxa"/>
            <w:vMerge w:val="restart"/>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七.泄（放）水操作</w:t>
            </w:r>
          </w:p>
        </w:tc>
        <w:tc>
          <w:tcPr>
            <w:tcW w:w="1147"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2.闸（阀）门操作</w:t>
            </w:r>
          </w:p>
        </w:tc>
        <w:tc>
          <w:tcPr>
            <w:tcW w:w="4671" w:type="dxa"/>
            <w:vAlign w:val="center"/>
          </w:tcPr>
          <w:p>
            <w:pPr>
              <w:pStyle w:val="34"/>
              <w:spacing w:line="280" w:lineRule="exact"/>
              <w:ind w:firstLine="0" w:firstLineChars="0"/>
              <w:jc w:val="left"/>
              <w:rPr>
                <w:rFonts w:hint="default" w:ascii="Times New Roman" w:hAnsi="Times New Roman" w:cs="Times New Roman"/>
              </w:rPr>
            </w:pPr>
            <w:r>
              <w:rPr>
                <w:rFonts w:hint="default" w:ascii="Times New Roman" w:hAnsi="Times New Roman" w:cs="Times New Roman"/>
                <w:sz w:val="18"/>
                <w:szCs w:val="18"/>
              </w:rPr>
              <w:t>用于防洪调度的闸门处于开启泄洪状态时，有2名及以上的人员定时开展巡查，实行现场不间断值守。自由溢流的水库泄洪时，落实专人定时开展巡查。</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957"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1147"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3.预警工作</w:t>
            </w:r>
          </w:p>
        </w:tc>
        <w:tc>
          <w:tcPr>
            <w:tcW w:w="4671" w:type="dxa"/>
            <w:vAlign w:val="center"/>
          </w:tcPr>
          <w:p>
            <w:pPr>
              <w:pStyle w:val="34"/>
              <w:spacing w:line="280" w:lineRule="exact"/>
              <w:ind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水库放水期间，在需预警时开展放水预警工作。</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957" w:type="dxa"/>
            <w:vMerge w:val="restart"/>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八.应急服务</w:t>
            </w:r>
          </w:p>
        </w:tc>
        <w:tc>
          <w:tcPr>
            <w:tcW w:w="1147"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1.应急演练</w:t>
            </w:r>
          </w:p>
        </w:tc>
        <w:tc>
          <w:tcPr>
            <w:tcW w:w="4671" w:type="dxa"/>
            <w:vAlign w:val="center"/>
          </w:tcPr>
          <w:p>
            <w:pPr>
              <w:pStyle w:val="34"/>
              <w:spacing w:line="280" w:lineRule="exact"/>
              <w:ind w:firstLine="0" w:firstLineChars="0"/>
              <w:jc w:val="left"/>
              <w:rPr>
                <w:rFonts w:hint="default" w:ascii="Times New Roman" w:hAnsi="Times New Roman" w:eastAsia="黑体" w:cs="Times New Roman"/>
                <w:kern w:val="2"/>
                <w:sz w:val="18"/>
                <w:szCs w:val="18"/>
              </w:rPr>
            </w:pPr>
            <w:r>
              <w:rPr>
                <w:rFonts w:hint="default" w:ascii="Times New Roman" w:hAnsi="Times New Roman" w:cs="Times New Roman"/>
                <w:sz w:val="18"/>
                <w:szCs w:val="18"/>
              </w:rPr>
              <w:t>成立应急工作小组，定期组织开展内部应急演练及参与委托方组织开展的应急演练，并完善相关设施、落实各项措施。</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957"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1147"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2.应急处理</w:t>
            </w:r>
          </w:p>
        </w:tc>
        <w:tc>
          <w:tcPr>
            <w:tcW w:w="4671" w:type="dxa"/>
            <w:vAlign w:val="center"/>
          </w:tcPr>
          <w:p>
            <w:pPr>
              <w:pStyle w:val="34"/>
              <w:spacing w:line="280" w:lineRule="exact"/>
              <w:ind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发现险情时，立即向委托方报告，并启动项目部应急预案，做好现场应急处置工作。</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957"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1147"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3.备用电源</w:t>
            </w:r>
          </w:p>
        </w:tc>
        <w:tc>
          <w:tcPr>
            <w:tcW w:w="4671" w:type="dxa"/>
            <w:vAlign w:val="center"/>
          </w:tcPr>
          <w:p>
            <w:pPr>
              <w:pStyle w:val="34"/>
              <w:spacing w:line="280" w:lineRule="exact"/>
              <w:ind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每月试运行1 次，梅汛前、台汛前各带负荷试运行1 次，并做好试运行记录。</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957" w:type="dxa"/>
            <w:vMerge w:val="restart"/>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九.档案管理</w:t>
            </w:r>
          </w:p>
        </w:tc>
        <w:tc>
          <w:tcPr>
            <w:tcW w:w="1147"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1.档案立卷</w:t>
            </w:r>
          </w:p>
        </w:tc>
        <w:tc>
          <w:tcPr>
            <w:tcW w:w="4671" w:type="dxa"/>
            <w:vAlign w:val="center"/>
          </w:tcPr>
          <w:p>
            <w:pPr>
              <w:pStyle w:val="34"/>
              <w:spacing w:line="280" w:lineRule="exact"/>
              <w:ind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对委托期间形成的具有保存价值或合同要求的文字、图表、声像等资料按要求进行立卷归档。</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957"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1147"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2.档案存放</w:t>
            </w:r>
          </w:p>
        </w:tc>
        <w:tc>
          <w:tcPr>
            <w:tcW w:w="4671" w:type="dxa"/>
            <w:vAlign w:val="center"/>
          </w:tcPr>
          <w:p>
            <w:pPr>
              <w:pStyle w:val="34"/>
              <w:spacing w:line="280" w:lineRule="exact"/>
              <w:ind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存放有固定地点，由专人负责管理，做到分类清楚、存放有序。</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957"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1147"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3.档案电子化</w:t>
            </w:r>
          </w:p>
        </w:tc>
        <w:tc>
          <w:tcPr>
            <w:tcW w:w="4671" w:type="dxa"/>
            <w:vAlign w:val="center"/>
          </w:tcPr>
          <w:p>
            <w:pPr>
              <w:pStyle w:val="34"/>
              <w:spacing w:line="280" w:lineRule="exact"/>
              <w:ind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纸质档案电子化、数字化，电子档案定期进行整理备份。</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957"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1147"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4.档案移交</w:t>
            </w:r>
          </w:p>
        </w:tc>
        <w:tc>
          <w:tcPr>
            <w:tcW w:w="4671" w:type="dxa"/>
            <w:vAlign w:val="center"/>
          </w:tcPr>
          <w:p>
            <w:pPr>
              <w:pStyle w:val="34"/>
              <w:spacing w:line="280" w:lineRule="exact"/>
              <w:ind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根据委托方的要求开展定期和临时档案移交。</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957" w:type="dxa"/>
            <w:vMerge w:val="restart"/>
            <w:vAlign w:val="center"/>
          </w:tcPr>
          <w:p>
            <w:pPr>
              <w:pStyle w:val="34"/>
              <w:spacing w:line="280" w:lineRule="exact"/>
              <w:ind w:firstLine="0" w:firstLineChars="0"/>
              <w:jc w:val="center"/>
              <w:rPr>
                <w:rFonts w:hint="default" w:ascii="Times New Roman" w:hAnsi="Times New Roman" w:cs="Times New Roman"/>
                <w:kern w:val="2"/>
                <w:sz w:val="18"/>
                <w:szCs w:val="18"/>
              </w:rPr>
            </w:pPr>
            <w:r>
              <w:rPr>
                <w:rFonts w:hint="default" w:ascii="Times New Roman" w:hAnsi="Times New Roman" w:cs="Times New Roman"/>
                <w:sz w:val="18"/>
                <w:szCs w:val="18"/>
              </w:rPr>
              <w:t>十.数字化服务</w:t>
            </w:r>
          </w:p>
        </w:tc>
        <w:tc>
          <w:tcPr>
            <w:tcW w:w="1147" w:type="dxa"/>
            <w:vMerge w:val="restart"/>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1.日常维护</w:t>
            </w:r>
          </w:p>
        </w:tc>
        <w:tc>
          <w:tcPr>
            <w:tcW w:w="4671" w:type="dxa"/>
            <w:vAlign w:val="center"/>
          </w:tcPr>
          <w:p>
            <w:pPr>
              <w:pStyle w:val="34"/>
              <w:spacing w:line="280" w:lineRule="exact"/>
              <w:ind w:firstLine="0" w:firstLineChars="0"/>
              <w:jc w:val="left"/>
              <w:rPr>
                <w:rFonts w:hint="default" w:ascii="Times New Roman" w:hAnsi="Times New Roman" w:cs="Times New Roman"/>
                <w:kern w:val="2"/>
                <w:sz w:val="18"/>
                <w:szCs w:val="18"/>
              </w:rPr>
            </w:pPr>
            <w:r>
              <w:rPr>
                <w:rFonts w:hint="default" w:ascii="Times New Roman" w:hAnsi="Times New Roman" w:cs="Times New Roman"/>
                <w:sz w:val="18"/>
                <w:szCs w:val="18"/>
              </w:rPr>
              <w:t>设置有专职管理人员。</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957"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1147" w:type="dxa"/>
            <w:vMerge w:val="continue"/>
            <w:vAlign w:val="center"/>
          </w:tcPr>
          <w:p>
            <w:pPr>
              <w:pStyle w:val="34"/>
              <w:spacing w:line="280" w:lineRule="exact"/>
              <w:ind w:firstLine="0" w:firstLineChars="0"/>
              <w:jc w:val="center"/>
              <w:rPr>
                <w:rFonts w:hint="default" w:ascii="Times New Roman" w:hAnsi="Times New Roman" w:cs="Times New Roman"/>
                <w:kern w:val="2"/>
                <w:sz w:val="18"/>
                <w:szCs w:val="18"/>
              </w:rPr>
            </w:pPr>
          </w:p>
        </w:tc>
        <w:tc>
          <w:tcPr>
            <w:tcW w:w="4671" w:type="dxa"/>
            <w:vAlign w:val="center"/>
          </w:tcPr>
          <w:p>
            <w:pPr>
              <w:pStyle w:val="34"/>
              <w:spacing w:line="280" w:lineRule="exact"/>
              <w:ind w:firstLine="0" w:firstLineChars="0"/>
              <w:jc w:val="left"/>
              <w:rPr>
                <w:rFonts w:hint="default" w:ascii="Times New Roman" w:hAnsi="Times New Roman" w:cs="Times New Roman"/>
                <w:kern w:val="2"/>
                <w:sz w:val="18"/>
                <w:szCs w:val="18"/>
              </w:rPr>
            </w:pPr>
            <w:r>
              <w:rPr>
                <w:rFonts w:hint="default" w:ascii="Times New Roman" w:hAnsi="Times New Roman" w:cs="Times New Roman"/>
                <w:sz w:val="18"/>
                <w:szCs w:val="18"/>
              </w:rPr>
              <w:t>根据运行管理需求实时或定期更新水库数据，并保障与上级数据共享和互联互通。</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color w:val="FF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957"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1147"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2.数据备份</w:t>
            </w:r>
          </w:p>
        </w:tc>
        <w:tc>
          <w:tcPr>
            <w:tcW w:w="4671" w:type="dxa"/>
            <w:vAlign w:val="center"/>
          </w:tcPr>
          <w:p>
            <w:pPr>
              <w:pStyle w:val="34"/>
              <w:widowControl w:val="0"/>
              <w:spacing w:line="280" w:lineRule="exact"/>
              <w:ind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每3 个月不少于1 次进行备份保存，实现重要数据备份与恢复。</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color w:val="FF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957" w:type="dxa"/>
            <w:vMerge w:val="continue"/>
            <w:vAlign w:val="center"/>
          </w:tcPr>
          <w:p>
            <w:pPr>
              <w:pStyle w:val="34"/>
              <w:spacing w:line="280" w:lineRule="exact"/>
              <w:ind w:firstLine="0" w:firstLineChars="0"/>
              <w:jc w:val="center"/>
              <w:rPr>
                <w:rFonts w:hint="default" w:ascii="Times New Roman" w:hAnsi="Times New Roman" w:cs="Times New Roman"/>
                <w:sz w:val="18"/>
                <w:szCs w:val="18"/>
              </w:rPr>
            </w:pPr>
          </w:p>
        </w:tc>
        <w:tc>
          <w:tcPr>
            <w:tcW w:w="1147"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3.数据安全</w:t>
            </w:r>
          </w:p>
        </w:tc>
        <w:tc>
          <w:tcPr>
            <w:tcW w:w="4671" w:type="dxa"/>
            <w:vAlign w:val="center"/>
          </w:tcPr>
          <w:p>
            <w:pPr>
              <w:pStyle w:val="34"/>
              <w:spacing w:line="280" w:lineRule="exact"/>
              <w:ind w:firstLine="0" w:firstLineChars="0"/>
              <w:jc w:val="left"/>
              <w:rPr>
                <w:rFonts w:hint="default" w:ascii="Times New Roman" w:hAnsi="Times New Roman" w:cs="Times New Roman"/>
                <w:sz w:val="18"/>
                <w:szCs w:val="18"/>
              </w:rPr>
            </w:pPr>
            <w:r>
              <w:rPr>
                <w:rFonts w:hint="default" w:ascii="Times New Roman" w:hAnsi="Times New Roman" w:cs="Times New Roman"/>
                <w:sz w:val="18"/>
                <w:szCs w:val="18"/>
              </w:rPr>
              <w:t>按照SL 803的要求对数据安全进行保护。</w:t>
            </w:r>
          </w:p>
        </w:tc>
        <w:tc>
          <w:tcPr>
            <w:tcW w:w="1133" w:type="dxa"/>
            <w:vAlign w:val="center"/>
          </w:tcPr>
          <w:p>
            <w:pPr>
              <w:pStyle w:val="34"/>
              <w:spacing w:line="280" w:lineRule="exact"/>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是□ 否□</w:t>
            </w:r>
          </w:p>
        </w:tc>
        <w:tc>
          <w:tcPr>
            <w:tcW w:w="1828" w:type="dxa"/>
            <w:vAlign w:val="center"/>
          </w:tcPr>
          <w:p>
            <w:pPr>
              <w:pStyle w:val="34"/>
              <w:spacing w:line="280" w:lineRule="exact"/>
              <w:ind w:firstLine="0" w:firstLineChars="0"/>
              <w:jc w:val="center"/>
              <w:rPr>
                <w:rFonts w:hint="default" w:ascii="Times New Roman" w:hAnsi="Times New Roman" w:cs="Times New Roman"/>
                <w:color w:val="FF0000"/>
                <w:sz w:val="18"/>
                <w:szCs w:val="18"/>
              </w:rPr>
            </w:pPr>
          </w:p>
        </w:tc>
      </w:tr>
    </w:tbl>
    <w:p>
      <w:pPr>
        <w:pStyle w:val="34"/>
        <w:ind w:firstLine="0" w:firstLineChars="0"/>
        <w:rPr>
          <w:rFonts w:hint="default" w:ascii="Times New Roman" w:hAnsi="Times New Roman" w:cs="Times New Roman"/>
          <w:sz w:val="18"/>
          <w:szCs w:val="18"/>
        </w:rPr>
      </w:pPr>
      <w:r>
        <w:rPr>
          <w:rFonts w:hint="default" w:ascii="Times New Roman" w:hAnsi="Times New Roman" w:cs="Times New Roman"/>
          <w:sz w:val="18"/>
          <w:szCs w:val="18"/>
        </w:rPr>
        <w:t>注：此表可用于物业化服务质量考核评估，可根据工程实际、事项的重要性设置否决项。</w:t>
      </w:r>
    </w:p>
    <w:sectPr>
      <w:pgSz w:w="11906" w:h="16838"/>
      <w:pgMar w:top="1134" w:right="1134" w:bottom="1134" w:left="1418" w:header="1134" w:footer="1134" w:gutter="0"/>
      <w:cols w:space="425"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200247B" w:usb2="00000009" w:usb3="00000000" w:csb0="200001FF" w:csb1="00000000"/>
  </w:font>
  <w:font w:name="Noto Sans Mono CJK HK">
    <w:altName w:val="Arial"/>
    <w:panose1 w:val="00000000000000000000"/>
    <w:charset w:val="00"/>
    <w:family w:val="swiss"/>
    <w:pitch w:val="default"/>
    <w:sig w:usb0="00000000" w:usb1="00000000" w:usb2="00000000" w:usb3="00000000" w:csb0="00000001" w:csb1="00000000"/>
  </w:font>
  <w:font w:name="AngsanaUPC">
    <w:panose1 w:val="02020603050405020304"/>
    <w:charset w:val="00"/>
    <w:family w:val="roman"/>
    <w:pitch w:val="default"/>
    <w:sig w:usb0="81000003" w:usb1="00000000" w:usb2="00000000" w:usb3="00000000" w:csb0="00010001" w:csb1="00000000"/>
  </w:font>
  <w:font w:name="MingLiU">
    <w:panose1 w:val="02020509000000000000"/>
    <w:charset w:val="88"/>
    <w:family w:val="modern"/>
    <w:pitch w:val="default"/>
    <w:sig w:usb0="A00002FF" w:usb1="28CFFCFA" w:usb2="00000016" w:usb3="00000000" w:csb0="0010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left"/>
    </w:pPr>
    <w:r>
      <w:fldChar w:fldCharType="begin"/>
    </w:r>
    <w:r>
      <w:instrText xml:space="preserve">PAGE   \* MERGEFORMAT</w:instrText>
    </w:r>
    <w:r>
      <w:fldChar w:fldCharType="separate"/>
    </w:r>
    <w:r>
      <w:rPr>
        <w:lang w:val="zh-CN"/>
      </w:rPr>
      <w:t>II</w:t>
    </w:r>
    <w:r>
      <w:rPr>
        <w:lang w:val="zh-CN"/>
      </w:rPr>
      <w:fldChar w:fldCharType="end"/>
    </w:r>
  </w:p>
  <w:p>
    <w:pPr>
      <w:pStyle w:val="2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rPr>
        <w:sz w:val="18"/>
      </w:rPr>
      <w:pict>
        <v:shape id="_x0000_s4097" o:spid="_x0000_s4097"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8"/>
                </w:pPr>
                <w:r>
                  <w:fldChar w:fldCharType="begin"/>
                </w:r>
                <w:r>
                  <w:instrText xml:space="preserve">PAGE   \* MERGEFORMAT</w:instrText>
                </w:r>
                <w:r>
                  <w:fldChar w:fldCharType="separate"/>
                </w:r>
                <w:r>
                  <w:rPr>
                    <w:lang w:val="zh-CN"/>
                  </w:rPr>
                  <w:t>3</w:t>
                </w:r>
                <w:r>
                  <w:rPr>
                    <w:lang w:val="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left"/>
    </w:pPr>
    <w:r>
      <w:rPr>
        <w:sz w:val="18"/>
      </w:rPr>
      <w:pict>
        <v:shape id="_x0000_s4098" o:spid="_x0000_s4098" o:spt="202" type="#_x0000_t202" style="position:absolute;left:0pt;margin-top:0pt;height:144pt;width:144pt;mso-position-horizontal:right;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28"/>
                  <w:jc w:val="left"/>
                </w:pPr>
                <w:r>
                  <w:fldChar w:fldCharType="begin"/>
                </w:r>
                <w:r>
                  <w:instrText xml:space="preserve">PAGE   \* MERGEFORMAT</w:instrText>
                </w:r>
                <w:r>
                  <w:fldChar w:fldCharType="separate"/>
                </w:r>
                <w:r>
                  <w:rPr>
                    <w:lang w:val="zh-CN"/>
                  </w:rPr>
                  <w:t>II</w:t>
                </w:r>
                <w:r>
                  <w:rPr>
                    <w:lang w:val="zh-CN"/>
                  </w:rPr>
                  <w:fldChar w:fldCharType="end"/>
                </w:r>
              </w:p>
            </w:txbxContent>
          </v:textbox>
        </v:shape>
      </w:pict>
    </w:r>
  </w:p>
  <w:p>
    <w:pPr>
      <w:pStyle w:val="2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rPr>
        <w:sz w:val="18"/>
      </w:rPr>
      <w:pict>
        <v:shape id="_x0000_s4099" o:spid="_x0000_s4099" o:spt="202" type="#_x0000_t202" style="position:absolute;left:0pt;margin-top:0pt;height:144pt;width:144pt;mso-position-horizontal:right;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28"/>
                </w:pPr>
                <w:r>
                  <w:fldChar w:fldCharType="begin"/>
                </w:r>
                <w:r>
                  <w:instrText xml:space="preserve">PAGE   \* MERGEFORMAT</w:instrText>
                </w:r>
                <w:r>
                  <w:fldChar w:fldCharType="separate"/>
                </w:r>
                <w:r>
                  <w:rPr>
                    <w:lang w:val="zh-CN"/>
                  </w:rPr>
                  <w:t>3</w:t>
                </w:r>
                <w:r>
                  <w:rPr>
                    <w:lang w:val="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left"/>
    </w:pPr>
    <w:r>
      <w:rPr>
        <w:sz w:val="18"/>
      </w:rPr>
      <w:pict>
        <v:shape id="_x0000_s4100" o:spid="_x0000_s4100" o:spt="202" type="#_x0000_t202" style="position:absolute;left:0pt;margin-top:0pt;height:144pt;width:144pt;mso-position-horizontal:right;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28"/>
                  <w:jc w:val="left"/>
                </w:pPr>
                <w:r>
                  <w:fldChar w:fldCharType="begin"/>
                </w:r>
                <w:r>
                  <w:instrText xml:space="preserve">PAGE   \* MERGEFORMAT</w:instrText>
                </w:r>
                <w:r>
                  <w:fldChar w:fldCharType="separate"/>
                </w:r>
                <w:r>
                  <w:rPr>
                    <w:lang w:val="zh-CN"/>
                  </w:rPr>
                  <w:t>II</w:t>
                </w:r>
                <w:r>
                  <w:rPr>
                    <w:lang w:val="zh-CN"/>
                  </w:rPr>
                  <w:fldChar w:fldCharType="end"/>
                </w:r>
              </w:p>
            </w:txbxContent>
          </v:textbox>
        </v:shape>
      </w:pict>
    </w:r>
  </w:p>
  <w:p>
    <w:pPr>
      <w:pStyle w:val="2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fldChar w:fldCharType="begin"/>
    </w:r>
    <w:r>
      <w:instrText xml:space="preserve">PAGE   \* MERGEFORMAT</w:instrText>
    </w:r>
    <w:r>
      <w:fldChar w:fldCharType="separate"/>
    </w:r>
    <w:r>
      <w:rPr>
        <w:lang w:val="zh-CN"/>
      </w:rPr>
      <w:t>3</w:t>
    </w:r>
    <w:r>
      <w:rPr>
        <w:lang w:val="zh-CN"/>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left"/>
    </w:pPr>
    <w:r>
      <w:fldChar w:fldCharType="begin"/>
    </w:r>
    <w:r>
      <w:instrText xml:space="preserve">PAGE   \* MERGEFORMAT</w:instrText>
    </w:r>
    <w:r>
      <w:fldChar w:fldCharType="separate"/>
    </w:r>
    <w:r>
      <w:rPr>
        <w:lang w:val="zh-CN"/>
      </w:rPr>
      <w:t>2</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933"/>
    <w:multiLevelType w:val="multilevel"/>
    <w:tmpl w:val="02837933"/>
    <w:lvl w:ilvl="0" w:tentative="0">
      <w:start w:val="1"/>
      <w:numFmt w:val="decimal"/>
      <w:pStyle w:val="191"/>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lvl>
    <w:lvl w:ilvl="1" w:tentative="0">
      <w:start w:val="1"/>
      <w:numFmt w:val="decimal"/>
      <w:isLgl/>
      <w:suff w:val="nothing"/>
      <w:lvlText w:val="%2　"/>
      <w:lvlJc w:val="left"/>
    </w:lvl>
    <w:lvl w:ilvl="2" w:tentative="0">
      <w:start w:val="1"/>
      <w:numFmt w:val="decimal"/>
      <w:pStyle w:val="269"/>
      <w:suff w:val="nothing"/>
      <w:lvlText w:val="%1%2.%3　"/>
      <w:lvlJc w:val="left"/>
    </w:lvl>
    <w:lvl w:ilvl="3" w:tentative="0">
      <w:start w:val="1"/>
      <w:numFmt w:val="decimal"/>
      <w:pStyle w:val="242"/>
      <w:suff w:val="nothing"/>
      <w:lvlText w:val="%1%2.%3.%4　"/>
      <w:lvlJc w:val="left"/>
    </w:lvl>
    <w:lvl w:ilvl="4" w:tentative="0">
      <w:start w:val="1"/>
      <w:numFmt w:val="decimal"/>
      <w:pStyle w:val="265"/>
      <w:suff w:val="nothing"/>
      <w:lvlText w:val="%1%2.%3.%4.%5　"/>
      <w:lvlJc w:val="left"/>
    </w:lvl>
    <w:lvl w:ilvl="5" w:tentative="0">
      <w:start w:val="1"/>
      <w:numFmt w:val="decimal"/>
      <w:pStyle w:val="266"/>
      <w:suff w:val="nothing"/>
      <w:lvlText w:val="%1%2.%3.%4.%5.%6　"/>
      <w:lvlJc w:val="left"/>
    </w:lvl>
    <w:lvl w:ilvl="6" w:tentative="0">
      <w:start w:val="1"/>
      <w:numFmt w:val="decimal"/>
      <w:pStyle w:val="268"/>
      <w:suff w:val="nothing"/>
      <w:lvlText w:val="%1%2.%3.%4.%5.%6.%7　"/>
      <w:lvlJc w:val="left"/>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92"/>
      <w:suff w:val="nothing"/>
      <w:lvlText w:val="注%1："/>
      <w:lvlJc w:val="left"/>
      <w:pPr>
        <w:ind w:left="811" w:hanging="448"/>
      </w:pPr>
      <w:rPr>
        <w:rFonts w:hint="eastAsia" w:ascii="黑体" w:eastAsia="黑体"/>
        <w:b w:val="0"/>
        <w:bCs w:val="0"/>
        <w:i w:val="0"/>
        <w:iCs w:val="0"/>
        <w:sz w:val="18"/>
        <w:szCs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215"/>
      <w:lvlText w:val="%1"/>
      <w:lvlJc w:val="left"/>
      <w:pPr>
        <w:ind w:left="425" w:hanging="425"/>
      </w:pPr>
      <w:rPr>
        <w:rFonts w:hint="eastAsia"/>
      </w:rPr>
    </w:lvl>
    <w:lvl w:ilvl="1" w:tentative="0">
      <w:start w:val="1"/>
      <w:numFmt w:val="decimal"/>
      <w:pStyle w:val="307"/>
      <w:suff w:val="nothing"/>
      <w:lvlText w:val="%10.%2 "/>
      <w:lvlJc w:val="left"/>
      <w:rPr>
        <w:rFonts w:hint="eastAsia" w:ascii="黑体" w:hAnsi="Calibri" w:eastAsia="黑体"/>
        <w:b w:val="0"/>
        <w:bCs w:val="0"/>
        <w:i w:val="0"/>
        <w:iCs w:val="0"/>
        <w:sz w:val="21"/>
        <w:szCs w:val="21"/>
      </w:rPr>
    </w:lvl>
    <w:lvl w:ilvl="2" w:tentative="0">
      <w:start w:val="1"/>
      <w:numFmt w:val="decimal"/>
      <w:pStyle w:val="308"/>
      <w:suff w:val="nothing"/>
      <w:lvlText w:val="%10.%2.%3 "/>
      <w:lvlJc w:val="left"/>
      <w:rPr>
        <w:rFonts w:hint="eastAsia" w:ascii="黑体" w:hAnsi="Calibri" w:eastAsia="黑体"/>
        <w:b w:val="0"/>
        <w:bCs w:val="0"/>
        <w:i w:val="0"/>
        <w:iCs w:val="0"/>
        <w:sz w:val="21"/>
        <w:szCs w:val="21"/>
      </w:rPr>
    </w:lvl>
    <w:lvl w:ilvl="3" w:tentative="0">
      <w:start w:val="1"/>
      <w:numFmt w:val="decimal"/>
      <w:pStyle w:val="309"/>
      <w:suff w:val="nothing"/>
      <w:lvlText w:val="%10.%2.%3.%4 "/>
      <w:lvlJc w:val="left"/>
      <w:rPr>
        <w:rFonts w:hint="eastAsia" w:ascii="黑体" w:hAnsi="Calibri" w:eastAsia="黑体"/>
        <w:b w:val="0"/>
        <w:bCs w:val="0"/>
        <w:i w:val="0"/>
        <w:iCs w:val="0"/>
        <w:sz w:val="21"/>
        <w:szCs w:val="21"/>
      </w:rPr>
    </w:lvl>
    <w:lvl w:ilvl="4" w:tentative="0">
      <w:start w:val="1"/>
      <w:numFmt w:val="decimal"/>
      <w:pStyle w:val="310"/>
      <w:suff w:val="nothing"/>
      <w:lvlText w:val="%10.%2.%3.%4.%5 "/>
      <w:lvlJc w:val="left"/>
      <w:rPr>
        <w:rFonts w:hint="eastAsia" w:ascii="黑体" w:hAnsi="Calibri" w:eastAsia="黑体"/>
        <w:b w:val="0"/>
        <w:bCs w:val="0"/>
        <w:i w:val="0"/>
        <w:iCs w:val="0"/>
        <w:sz w:val="21"/>
        <w:szCs w:val="21"/>
      </w:rPr>
    </w:lvl>
    <w:lvl w:ilvl="5" w:tentative="0">
      <w:start w:val="1"/>
      <w:numFmt w:val="decimal"/>
      <w:pStyle w:val="311"/>
      <w:suff w:val="nothing"/>
      <w:lvlText w:val="%10.%2.%3.%4.%5.%6 "/>
      <w:lvlJc w:val="left"/>
      <w:rPr>
        <w:rFonts w:hint="eastAsia" w:ascii="黑体" w:hAnsi="Calibri" w:eastAsia="黑体"/>
        <w:b w:val="0"/>
        <w:bCs w:val="0"/>
        <w:i w:val="0"/>
        <w:iCs w:val="0"/>
        <w:sz w:val="21"/>
        <w:szCs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93C6778"/>
    <w:multiLevelType w:val="multilevel"/>
    <w:tmpl w:val="093C6778"/>
    <w:lvl w:ilvl="0" w:tentative="0">
      <w:start w:val="1"/>
      <w:numFmt w:val="decimal"/>
      <w:pStyle w:val="150"/>
      <w:suff w:val="nothing"/>
      <w:lvlText w:val="示例%1："/>
      <w:lvlJc w:val="left"/>
      <w:pPr>
        <w:ind w:firstLine="397"/>
      </w:pPr>
      <w:rPr>
        <w:rFonts w:hint="eastAsia" w:ascii="黑体" w:eastAsia="黑体"/>
        <w:sz w:val="18"/>
        <w:szCs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5">
    <w:nsid w:val="0AE367E9"/>
    <w:multiLevelType w:val="multilevel"/>
    <w:tmpl w:val="0AE367E9"/>
    <w:lvl w:ilvl="0" w:tentative="0">
      <w:start w:val="1"/>
      <w:numFmt w:val="none"/>
      <w:pStyle w:val="86"/>
      <w:suff w:val="nothing"/>
      <w:lvlText w:val="%1示例："/>
      <w:lvlJc w:val="left"/>
      <w:pPr>
        <w:ind w:firstLine="363"/>
      </w:pPr>
      <w:rPr>
        <w:rFonts w:hint="eastAsia" w:ascii="黑体" w:eastAsia="黑体"/>
        <w:b w:val="0"/>
        <w:bCs w:val="0"/>
        <w:i w:val="0"/>
        <w:iCs w:val="0"/>
        <w:sz w:val="18"/>
        <w:szCs w:val="18"/>
      </w:rPr>
    </w:lvl>
    <w:lvl w:ilvl="1" w:tentative="0">
      <w:start w:val="1"/>
      <w:numFmt w:val="lowerLetter"/>
      <w:lvlText w:val="%2)"/>
      <w:lvlJc w:val="left"/>
      <w:pPr>
        <w:tabs>
          <w:tab w:val="left" w:pos="363"/>
        </w:tabs>
        <w:ind w:firstLine="363"/>
      </w:pPr>
      <w:rPr>
        <w:rFonts w:hint="eastAsia"/>
      </w:rPr>
    </w:lvl>
    <w:lvl w:ilvl="2" w:tentative="0">
      <w:start w:val="1"/>
      <w:numFmt w:val="lowerRoman"/>
      <w:lvlText w:val="%3."/>
      <w:lvlJc w:val="right"/>
      <w:pPr>
        <w:tabs>
          <w:tab w:val="left" w:pos="363"/>
        </w:tabs>
        <w:ind w:firstLine="363"/>
      </w:pPr>
      <w:rPr>
        <w:rFonts w:hint="eastAsia"/>
      </w:rPr>
    </w:lvl>
    <w:lvl w:ilvl="3" w:tentative="0">
      <w:start w:val="1"/>
      <w:numFmt w:val="decimal"/>
      <w:lvlText w:val="%4."/>
      <w:lvlJc w:val="left"/>
      <w:pPr>
        <w:tabs>
          <w:tab w:val="left" w:pos="363"/>
        </w:tabs>
        <w:ind w:firstLine="363"/>
      </w:pPr>
      <w:rPr>
        <w:rFonts w:hint="eastAsia"/>
      </w:rPr>
    </w:lvl>
    <w:lvl w:ilvl="4" w:tentative="0">
      <w:start w:val="1"/>
      <w:numFmt w:val="lowerLetter"/>
      <w:lvlText w:val="%5)"/>
      <w:lvlJc w:val="left"/>
      <w:pPr>
        <w:tabs>
          <w:tab w:val="left" w:pos="363"/>
        </w:tabs>
        <w:ind w:firstLine="363"/>
      </w:pPr>
      <w:rPr>
        <w:rFonts w:hint="eastAsia"/>
      </w:rPr>
    </w:lvl>
    <w:lvl w:ilvl="5" w:tentative="0">
      <w:start w:val="1"/>
      <w:numFmt w:val="lowerRoman"/>
      <w:lvlText w:val="%6."/>
      <w:lvlJc w:val="right"/>
      <w:pPr>
        <w:tabs>
          <w:tab w:val="left" w:pos="363"/>
        </w:tabs>
        <w:ind w:firstLine="363"/>
      </w:pPr>
      <w:rPr>
        <w:rFonts w:hint="eastAsia"/>
      </w:rPr>
    </w:lvl>
    <w:lvl w:ilvl="6" w:tentative="0">
      <w:start w:val="1"/>
      <w:numFmt w:val="decimal"/>
      <w:lvlText w:val="%7."/>
      <w:lvlJc w:val="left"/>
      <w:pPr>
        <w:tabs>
          <w:tab w:val="left" w:pos="363"/>
        </w:tabs>
        <w:ind w:firstLine="363"/>
      </w:pPr>
      <w:rPr>
        <w:rFonts w:hint="eastAsia"/>
      </w:rPr>
    </w:lvl>
    <w:lvl w:ilvl="7" w:tentative="0">
      <w:start w:val="1"/>
      <w:numFmt w:val="lowerLetter"/>
      <w:lvlText w:val="%8)"/>
      <w:lvlJc w:val="left"/>
      <w:pPr>
        <w:tabs>
          <w:tab w:val="left" w:pos="363"/>
        </w:tabs>
        <w:ind w:firstLine="363"/>
      </w:pPr>
      <w:rPr>
        <w:rFonts w:hint="eastAsia"/>
      </w:rPr>
    </w:lvl>
    <w:lvl w:ilvl="8" w:tentative="0">
      <w:start w:val="1"/>
      <w:numFmt w:val="lowerRoman"/>
      <w:lvlText w:val="%9."/>
      <w:lvlJc w:val="right"/>
      <w:pPr>
        <w:tabs>
          <w:tab w:val="left" w:pos="363"/>
        </w:tabs>
        <w:ind w:firstLine="363"/>
      </w:pPr>
      <w:rPr>
        <w:rFonts w:hint="eastAsia"/>
      </w:rPr>
    </w:lvl>
  </w:abstractNum>
  <w:abstractNum w:abstractNumId="6">
    <w:nsid w:val="0BDC1670"/>
    <w:multiLevelType w:val="multilevel"/>
    <w:tmpl w:val="0BDC1670"/>
    <w:lvl w:ilvl="0" w:tentative="0">
      <w:start w:val="1"/>
      <w:numFmt w:val="decimal"/>
      <w:pStyle w:val="194"/>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D051F45"/>
    <w:multiLevelType w:val="multilevel"/>
    <w:tmpl w:val="0D051F45"/>
    <w:lvl w:ilvl="0" w:tentative="0">
      <w:start w:val="1"/>
      <w:numFmt w:val="lowerRoman"/>
      <w:pStyle w:val="279"/>
      <w:lvlText w:val="%1)"/>
      <w:lvlJc w:val="left"/>
      <w:pPr>
        <w:tabs>
          <w:tab w:val="left" w:pos="851"/>
        </w:tabs>
        <w:ind w:left="851" w:hanging="426"/>
      </w:pPr>
      <w:rPr>
        <w:rFonts w:hint="eastAsia" w:ascii="宋体" w:hAnsi="Times New Roman" w:eastAsia="宋体"/>
        <w:sz w:val="21"/>
        <w:szCs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8">
    <w:nsid w:val="0DDE2B46"/>
    <w:multiLevelType w:val="multilevel"/>
    <w:tmpl w:val="0DDE2B46"/>
    <w:lvl w:ilvl="0" w:tentative="0">
      <w:start w:val="1"/>
      <w:numFmt w:val="lowerLetter"/>
      <w:pStyle w:val="155"/>
      <w:suff w:val="nothing"/>
      <w:lvlText w:val="%1   "/>
      <w:lvlJc w:val="left"/>
      <w:pPr>
        <w:ind w:left="544" w:hanging="181"/>
      </w:pPr>
      <w:rPr>
        <w:rFonts w:hint="eastAsia" w:ascii="宋体" w:eastAsia="宋体"/>
        <w:b w:val="0"/>
        <w:bCs w:val="0"/>
        <w:i w:val="0"/>
        <w:iCs w:val="0"/>
        <w:sz w:val="18"/>
        <w:szCs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9">
    <w:nsid w:val="104977ED"/>
    <w:multiLevelType w:val="multilevel"/>
    <w:tmpl w:val="104977ED"/>
    <w:lvl w:ilvl="0" w:tentative="0">
      <w:start w:val="1"/>
      <w:numFmt w:val="decimal"/>
      <w:suff w:val="nothing"/>
      <w:lvlText w:val="注%1："/>
      <w:lvlJc w:val="left"/>
      <w:pPr>
        <w:ind w:left="811" w:hanging="448"/>
      </w:pPr>
      <w:rPr>
        <w:rFonts w:hint="eastAsia" w:ascii="黑体" w:eastAsia="黑体"/>
        <w:b w:val="0"/>
        <w:bCs w:val="0"/>
        <w:i w:val="0"/>
        <w:iCs w:val="0"/>
        <w:sz w:val="18"/>
        <w:szCs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0">
    <w:nsid w:val="1AD20F90"/>
    <w:multiLevelType w:val="multilevel"/>
    <w:tmpl w:val="1AD20F90"/>
    <w:lvl w:ilvl="0" w:tentative="0">
      <w:start w:val="1"/>
      <w:numFmt w:val="none"/>
      <w:pStyle w:val="235"/>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1AF15012"/>
    <w:multiLevelType w:val="multilevel"/>
    <w:tmpl w:val="1AF15012"/>
    <w:lvl w:ilvl="0" w:tentative="0">
      <w:start w:val="1"/>
      <w:numFmt w:val="upperLetter"/>
      <w:pStyle w:val="212"/>
      <w:suff w:val="nothing"/>
      <w:lvlText w:val="附 录(Annex) %1"/>
      <w:lvlJc w:val="left"/>
    </w:lvl>
    <w:lvl w:ilvl="1" w:tentative="0">
      <w:start w:val="1"/>
      <w:numFmt w:val="decimal"/>
      <w:suff w:val="nothing"/>
      <w:lvlText w:val="%1.%2　"/>
      <w:lvlJc w:val="left"/>
    </w:lvl>
    <w:lvl w:ilvl="2" w:tentative="0">
      <w:start w:val="1"/>
      <w:numFmt w:val="decimal"/>
      <w:suff w:val="nothing"/>
      <w:lvlText w:val="%1.%2.%3　"/>
      <w:lvlJc w:val="left"/>
    </w:lvl>
    <w:lvl w:ilvl="3" w:tentative="0">
      <w:start w:val="1"/>
      <w:numFmt w:val="decimal"/>
      <w:suff w:val="nothing"/>
      <w:lvlText w:val="%1.%2.%3.%4　"/>
      <w:lvlJc w:val="left"/>
    </w:lvl>
    <w:lvl w:ilvl="4" w:tentative="0">
      <w:start w:val="1"/>
      <w:numFmt w:val="decimal"/>
      <w:suff w:val="nothing"/>
      <w:lvlText w:val="%1.%2.%3.%4.%5　"/>
      <w:lvlJc w:val="left"/>
    </w:lvl>
    <w:lvl w:ilvl="5" w:tentative="0">
      <w:start w:val="1"/>
      <w:numFmt w:val="decimal"/>
      <w:suff w:val="nothing"/>
      <w:lvlText w:val="%1.%2.%3.%4.%5.%6　"/>
      <w:lvlJc w:val="left"/>
    </w:lvl>
    <w:lvl w:ilvl="6" w:tentative="0">
      <w:start w:val="1"/>
      <w:numFmt w:val="decimal"/>
      <w:suff w:val="nothing"/>
      <w:lvlText w:val="%1.%2.%3.%4.%5.%6.%7　"/>
      <w:lvlJc w:val="left"/>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2">
    <w:nsid w:val="1DBF583A"/>
    <w:multiLevelType w:val="multilevel"/>
    <w:tmpl w:val="1DBF583A"/>
    <w:lvl w:ilvl="0" w:tentative="0">
      <w:start w:val="1"/>
      <w:numFmt w:val="decimal"/>
      <w:pStyle w:val="99"/>
      <w:suff w:val="nothing"/>
      <w:lvlText w:val="注%1："/>
      <w:lvlJc w:val="left"/>
      <w:pPr>
        <w:ind w:left="811" w:hanging="448"/>
      </w:pPr>
      <w:rPr>
        <w:rFonts w:hint="eastAsia" w:ascii="黑体" w:eastAsia="黑体"/>
        <w:b w:val="0"/>
        <w:bCs w:val="0"/>
        <w:i w:val="0"/>
        <w:iCs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13">
    <w:nsid w:val="1EAA1992"/>
    <w:multiLevelType w:val="multilevel"/>
    <w:tmpl w:val="1EAA1992"/>
    <w:lvl w:ilvl="0" w:tentative="0">
      <w:start w:val="1"/>
      <w:numFmt w:val="none"/>
      <w:pStyle w:val="218"/>
      <w:suff w:val="nothing"/>
      <w:lvlText w:val="——"/>
      <w:lvlJc w:val="left"/>
      <w:pPr>
        <w:ind w:left="794" w:hanging="397"/>
      </w:pPr>
    </w:lvl>
    <w:lvl w:ilvl="1" w:tentative="0">
      <w:start w:val="1"/>
      <w:numFmt w:val="decimal"/>
      <w:suff w:val="nothing"/>
      <w:lvlText w:val="%1.%2　"/>
      <w:lvlJc w:val="left"/>
      <w:pPr>
        <w:ind w:left="397"/>
      </w:pPr>
    </w:lvl>
    <w:lvl w:ilvl="2" w:tentative="0">
      <w:start w:val="1"/>
      <w:numFmt w:val="decimal"/>
      <w:suff w:val="nothing"/>
      <w:lvlText w:val="%1.%2.%3　"/>
      <w:lvlJc w:val="left"/>
      <w:pPr>
        <w:ind w:left="397"/>
      </w:pPr>
    </w:lvl>
    <w:lvl w:ilvl="3" w:tentative="0">
      <w:start w:val="1"/>
      <w:numFmt w:val="decimal"/>
      <w:suff w:val="nothing"/>
      <w:lvlText w:val="%1.%2.%3.%4　"/>
      <w:lvlJc w:val="left"/>
      <w:pPr>
        <w:ind w:left="397"/>
      </w:pPr>
    </w:lvl>
    <w:lvl w:ilvl="4" w:tentative="0">
      <w:start w:val="1"/>
      <w:numFmt w:val="decimal"/>
      <w:suff w:val="nothing"/>
      <w:lvlText w:val="%1.%2.%3.%4.%5　"/>
      <w:lvlJc w:val="left"/>
      <w:pPr>
        <w:ind w:left="397"/>
      </w:pPr>
    </w:lvl>
    <w:lvl w:ilvl="5" w:tentative="0">
      <w:start w:val="1"/>
      <w:numFmt w:val="decimal"/>
      <w:suff w:val="nothing"/>
      <w:lvlText w:val="%1.%2.%3.%4.%5.%6　"/>
      <w:lvlJc w:val="left"/>
      <w:pPr>
        <w:ind w:left="397"/>
      </w:pPr>
    </w:lvl>
    <w:lvl w:ilvl="6" w:tentative="0">
      <w:start w:val="1"/>
      <w:numFmt w:val="decimal"/>
      <w:suff w:val="nothing"/>
      <w:lvlText w:val="%1.%2.%3.%4.%5.%6.%7　"/>
      <w:lvlJc w:val="left"/>
      <w:pPr>
        <w:ind w:left="397"/>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4">
    <w:nsid w:val="1FC91163"/>
    <w:multiLevelType w:val="multilevel"/>
    <w:tmpl w:val="1FC91163"/>
    <w:lvl w:ilvl="0" w:tentative="0">
      <w:start w:val="1"/>
      <w:numFmt w:val="decimal"/>
      <w:pStyle w:val="79"/>
      <w:suff w:val="nothing"/>
      <w:lvlText w:val="%1　"/>
      <w:lvlJc w:val="left"/>
      <w:rPr>
        <w:rFonts w:hint="eastAsia" w:ascii="黑体" w:hAnsi="Times New Roman" w:eastAsia="黑体"/>
        <w:b w:val="0"/>
        <w:bCs w:val="0"/>
        <w:i w:val="0"/>
        <w:iCs w:val="0"/>
        <w:sz w:val="21"/>
        <w:szCs w:val="21"/>
      </w:rPr>
    </w:lvl>
    <w:lvl w:ilvl="1" w:tentative="0">
      <w:start w:val="1"/>
      <w:numFmt w:val="decimal"/>
      <w:pStyle w:val="76"/>
      <w:suff w:val="nothing"/>
      <w:lvlText w:val="%1.%2　"/>
      <w:lvlJc w:val="left"/>
      <w:rPr>
        <w:rFonts w:hint="eastAsia" w:ascii="黑体" w:hAnsi="Times New Roman" w:eastAsia="黑体"/>
        <w:b w:val="0"/>
        <w:bCs w:val="0"/>
        <w:i w:val="0"/>
        <w:iCs w:val="0"/>
        <w:caps w:val="0"/>
        <w:strike w:val="0"/>
        <w:dstrike w:val="0"/>
        <w:vanish w:val="0"/>
        <w:color w:val="auto"/>
        <w:spacing w:val="0"/>
        <w:kern w:val="0"/>
        <w:position w:val="0"/>
        <w:sz w:val="21"/>
        <w:szCs w:val="21"/>
        <w:u w:val="none"/>
        <w:vertAlign w:val="baseline"/>
      </w:rPr>
    </w:lvl>
    <w:lvl w:ilvl="2" w:tentative="0">
      <w:start w:val="1"/>
      <w:numFmt w:val="decimal"/>
      <w:pStyle w:val="80"/>
      <w:suff w:val="nothing"/>
      <w:lvlText w:val="%1.%2.%3　"/>
      <w:lvlJc w:val="left"/>
      <w:rPr>
        <w:rFonts w:hint="eastAsia" w:ascii="黑体" w:hAnsi="Times New Roman" w:eastAsia="黑体"/>
        <w:b w:val="0"/>
        <w:bCs w:val="0"/>
        <w:i w:val="0"/>
        <w:iCs w:val="0"/>
        <w:color w:val="auto"/>
        <w:sz w:val="21"/>
        <w:szCs w:val="21"/>
      </w:rPr>
    </w:lvl>
    <w:lvl w:ilvl="3" w:tentative="0">
      <w:start w:val="1"/>
      <w:numFmt w:val="decimal"/>
      <w:pStyle w:val="85"/>
      <w:suff w:val="nothing"/>
      <w:lvlText w:val="%1.%2.%3.%4　"/>
      <w:lvlJc w:val="left"/>
      <w:rPr>
        <w:rFonts w:hint="eastAsia" w:ascii="黑体" w:hAnsi="Times New Roman" w:eastAsia="黑体"/>
        <w:b w:val="0"/>
        <w:bCs w:val="0"/>
        <w:i w:val="0"/>
        <w:iCs w:val="0"/>
        <w:sz w:val="21"/>
        <w:szCs w:val="21"/>
      </w:rPr>
    </w:lvl>
    <w:lvl w:ilvl="4" w:tentative="0">
      <w:start w:val="1"/>
      <w:numFmt w:val="decimal"/>
      <w:pStyle w:val="89"/>
      <w:suff w:val="nothing"/>
      <w:lvlText w:val="%1.%2.%3.%4.%5　"/>
      <w:lvlJc w:val="left"/>
      <w:rPr>
        <w:rFonts w:hint="eastAsia" w:ascii="黑体" w:hAnsi="Times New Roman" w:eastAsia="黑体"/>
        <w:b w:val="0"/>
        <w:bCs w:val="0"/>
        <w:i w:val="0"/>
        <w:iCs w:val="0"/>
        <w:sz w:val="21"/>
        <w:szCs w:val="21"/>
      </w:rPr>
    </w:lvl>
    <w:lvl w:ilvl="5" w:tentative="0">
      <w:start w:val="1"/>
      <w:numFmt w:val="decimal"/>
      <w:pStyle w:val="90"/>
      <w:suff w:val="nothing"/>
      <w:lvlText w:val="%1.%2.%3.%4.%5.%6　"/>
      <w:lvlJc w:val="left"/>
      <w:rPr>
        <w:rFonts w:hint="eastAsia" w:ascii="黑体" w:hAnsi="Times New Roman" w:eastAsia="黑体"/>
        <w:b w:val="0"/>
        <w:bCs w:val="0"/>
        <w:i w:val="0"/>
        <w:iCs w:val="0"/>
        <w:sz w:val="21"/>
        <w:szCs w:val="21"/>
      </w:rPr>
    </w:lvl>
    <w:lvl w:ilvl="6" w:tentative="0">
      <w:start w:val="1"/>
      <w:numFmt w:val="decimal"/>
      <w:suff w:val="nothing"/>
      <w:lvlText w:val="%1%2.%3.%4.%5.%6.%7　"/>
      <w:lvlJc w:val="left"/>
      <w:rPr>
        <w:rFonts w:hint="eastAsia" w:ascii="黑体" w:hAnsi="Times New Roman" w:eastAsia="黑体"/>
        <w:b w:val="0"/>
        <w:bCs w:val="0"/>
        <w:i w:val="0"/>
        <w:iCs w:val="0"/>
        <w:sz w:val="21"/>
        <w:szCs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5">
    <w:nsid w:val="2A8F7113"/>
    <w:multiLevelType w:val="multilevel"/>
    <w:tmpl w:val="2A8F7113"/>
    <w:lvl w:ilvl="0" w:tentative="0">
      <w:start w:val="1"/>
      <w:numFmt w:val="upperLetter"/>
      <w:pStyle w:val="132"/>
      <w:suff w:val="space"/>
      <w:lvlText w:val="%1"/>
      <w:lvlJc w:val="left"/>
      <w:pPr>
        <w:ind w:left="623" w:hanging="425"/>
      </w:pPr>
      <w:rPr>
        <w:rFonts w:hint="eastAsia"/>
      </w:rPr>
    </w:lvl>
    <w:lvl w:ilvl="1" w:tentative="0">
      <w:start w:val="1"/>
      <w:numFmt w:val="decimal"/>
      <w:pStyle w:val="133"/>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16">
    <w:nsid w:val="2C5917C3"/>
    <w:multiLevelType w:val="multilevel"/>
    <w:tmpl w:val="2C5917C3"/>
    <w:lvl w:ilvl="0" w:tentative="0">
      <w:start w:val="1"/>
      <w:numFmt w:val="none"/>
      <w:pStyle w:val="82"/>
      <w:suff w:val="nothing"/>
      <w:lvlText w:val="%1——"/>
      <w:lvlJc w:val="left"/>
      <w:pPr>
        <w:ind w:left="833" w:hanging="408"/>
      </w:pPr>
      <w:rPr>
        <w:rFonts w:hint="eastAsia"/>
      </w:rPr>
    </w:lvl>
    <w:lvl w:ilvl="1" w:tentative="0">
      <w:start w:val="1"/>
      <w:numFmt w:val="bullet"/>
      <w:pStyle w:val="83"/>
      <w:lvlText w:val=""/>
      <w:lvlJc w:val="left"/>
      <w:pPr>
        <w:tabs>
          <w:tab w:val="left" w:pos="760"/>
        </w:tabs>
        <w:ind w:left="1264" w:hanging="413"/>
      </w:pPr>
      <w:rPr>
        <w:rFonts w:hint="default" w:ascii="Symbol" w:hAnsi="Symbol" w:cs="Symbol"/>
        <w:color w:val="auto"/>
      </w:rPr>
    </w:lvl>
    <w:lvl w:ilvl="2" w:tentative="0">
      <w:start w:val="1"/>
      <w:numFmt w:val="bullet"/>
      <w:pStyle w:val="94"/>
      <w:lvlText w:val=""/>
      <w:lvlJc w:val="left"/>
      <w:pPr>
        <w:tabs>
          <w:tab w:val="left" w:pos="1678"/>
        </w:tabs>
        <w:ind w:left="1678" w:hanging="414"/>
      </w:pPr>
      <w:rPr>
        <w:rFonts w:hint="default" w:ascii="Symbol" w:hAnsi="Symbol" w:cs="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7">
    <w:nsid w:val="32F04FB2"/>
    <w:multiLevelType w:val="multilevel"/>
    <w:tmpl w:val="32F04FB2"/>
    <w:lvl w:ilvl="0" w:tentative="0">
      <w:start w:val="1"/>
      <w:numFmt w:val="lowerLetter"/>
      <w:pStyle w:val="226"/>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8">
    <w:nsid w:val="3D733618"/>
    <w:multiLevelType w:val="multilevel"/>
    <w:tmpl w:val="3D733618"/>
    <w:lvl w:ilvl="0" w:tentative="0">
      <w:start w:val="1"/>
      <w:numFmt w:val="decimal"/>
      <w:pStyle w:val="35"/>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9">
    <w:nsid w:val="402874F7"/>
    <w:multiLevelType w:val="multilevel"/>
    <w:tmpl w:val="402874F7"/>
    <w:lvl w:ilvl="0" w:tentative="0">
      <w:start w:val="1"/>
      <w:numFmt w:val="decimal"/>
      <w:suff w:val="nothing"/>
      <w:lvlText w:val="注%1："/>
      <w:lvlJc w:val="left"/>
      <w:pPr>
        <w:ind w:left="811" w:hanging="448"/>
      </w:pPr>
      <w:rPr>
        <w:rFonts w:hint="eastAsia" w:ascii="黑体" w:eastAsia="黑体"/>
        <w:b w:val="0"/>
        <w:bCs w:val="0"/>
        <w:i w:val="0"/>
        <w:iCs w:val="0"/>
        <w:sz w:val="18"/>
        <w:szCs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20">
    <w:nsid w:val="44C50F90"/>
    <w:multiLevelType w:val="multilevel"/>
    <w:tmpl w:val="44C50F90"/>
    <w:lvl w:ilvl="0" w:tentative="0">
      <w:start w:val="1"/>
      <w:numFmt w:val="lowerLetter"/>
      <w:pStyle w:val="283"/>
      <w:lvlText w:val="%1)"/>
      <w:lvlJc w:val="left"/>
      <w:pPr>
        <w:tabs>
          <w:tab w:val="left" w:pos="851"/>
        </w:tabs>
        <w:ind w:left="851" w:hanging="426"/>
      </w:pPr>
      <w:rPr>
        <w:rFonts w:hint="eastAsia" w:ascii="宋体" w:hAnsi="Times New Roman" w:eastAsia="宋体"/>
        <w:sz w:val="21"/>
        <w:szCs w:val="21"/>
      </w:rPr>
    </w:lvl>
    <w:lvl w:ilvl="1" w:tentative="0">
      <w:start w:val="1"/>
      <w:numFmt w:val="decimal"/>
      <w:pStyle w:val="234"/>
      <w:lvlText w:val="%2)"/>
      <w:lvlJc w:val="left"/>
      <w:pPr>
        <w:tabs>
          <w:tab w:val="left" w:pos="1276"/>
        </w:tabs>
        <w:ind w:left="1276" w:hanging="425"/>
      </w:pPr>
      <w:rPr>
        <w:rFonts w:hint="eastAsia" w:ascii="宋体" w:hAnsi="Times New Roman" w:eastAsia="宋体"/>
        <w:sz w:val="21"/>
        <w:szCs w:val="21"/>
      </w:rPr>
    </w:lvl>
    <w:lvl w:ilvl="2" w:tentative="0">
      <w:start w:val="1"/>
      <w:numFmt w:val="decimal"/>
      <w:pStyle w:val="241"/>
      <w:lvlText w:val="(%3)"/>
      <w:lvlJc w:val="left"/>
      <w:pPr>
        <w:ind w:left="1701" w:hanging="425"/>
      </w:pPr>
      <w:rPr>
        <w:rFonts w:hint="eastAsia" w:ascii="宋体" w:hAnsi="Times New Roman" w:eastAsia="宋体"/>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1">
    <w:nsid w:val="4744350E"/>
    <w:multiLevelType w:val="multilevel"/>
    <w:tmpl w:val="4744350E"/>
    <w:lvl w:ilvl="0" w:tentative="0">
      <w:start w:val="1"/>
      <w:numFmt w:val="lowerLetter"/>
      <w:lvlText w:val="%1)"/>
      <w:lvlJc w:val="left"/>
      <w:pPr>
        <w:tabs>
          <w:tab w:val="left" w:pos="840"/>
        </w:tabs>
        <w:ind w:left="839" w:hanging="419"/>
      </w:pPr>
      <w:rPr>
        <w:rFonts w:hint="eastAsia" w:ascii="宋体" w:eastAsia="宋体"/>
        <w:b w:val="0"/>
        <w:bCs w:val="0"/>
        <w:i w:val="0"/>
        <w:iCs w:val="0"/>
        <w:sz w:val="21"/>
        <w:szCs w:val="21"/>
      </w:rPr>
    </w:lvl>
    <w:lvl w:ilvl="1" w:tentative="0">
      <w:start w:val="1"/>
      <w:numFmt w:val="decimal"/>
      <w:pStyle w:val="88"/>
      <w:lvlText w:val="%2)"/>
      <w:lvlJc w:val="left"/>
      <w:pPr>
        <w:tabs>
          <w:tab w:val="left" w:pos="1260"/>
        </w:tabs>
        <w:ind w:left="1259" w:hanging="419"/>
      </w:pPr>
      <w:rPr>
        <w:rFonts w:hint="eastAsia"/>
      </w:rPr>
    </w:lvl>
    <w:lvl w:ilvl="2" w:tentative="0">
      <w:start w:val="1"/>
      <w:numFmt w:val="decimal"/>
      <w:pStyle w:val="95"/>
      <w:lvlText w:val="(%3)"/>
      <w:lvlJc w:val="left"/>
      <w:pPr>
        <w:tabs>
          <w:tab w:val="left" w:pos="0"/>
        </w:tabs>
        <w:ind w:left="1679" w:hanging="420"/>
      </w:pPr>
      <w:rPr>
        <w:rFonts w:hint="eastAsia" w:ascii="宋体" w:eastAsia="宋体"/>
        <w:b w:val="0"/>
        <w:bCs w:val="0"/>
        <w:i w:val="0"/>
        <w:iCs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2">
    <w:nsid w:val="48802D1C"/>
    <w:multiLevelType w:val="multilevel"/>
    <w:tmpl w:val="48802D1C"/>
    <w:lvl w:ilvl="0" w:tentative="0">
      <w:start w:val="1"/>
      <w:numFmt w:val="upperLetter"/>
      <w:pStyle w:val="305"/>
      <w:lvlText w:val="%1"/>
      <w:lvlJc w:val="left"/>
      <w:pPr>
        <w:ind w:left="420" w:hanging="420"/>
      </w:pPr>
      <w:rPr>
        <w:rFonts w:hint="eastAsia"/>
      </w:rPr>
    </w:lvl>
    <w:lvl w:ilvl="1" w:tentative="0">
      <w:start w:val="1"/>
      <w:numFmt w:val="decimal"/>
      <w:pStyle w:val="210"/>
      <w:suff w:val="space"/>
      <w:lvlText w:val="图%1.%2"/>
      <w:lvlJc w:val="cente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3">
    <w:nsid w:val="4AF26A6B"/>
    <w:multiLevelType w:val="multilevel"/>
    <w:tmpl w:val="4AF26A6B"/>
    <w:lvl w:ilvl="0" w:tentative="0">
      <w:start w:val="1"/>
      <w:numFmt w:val="lowerLetter"/>
      <w:pStyle w:val="93"/>
      <w:lvlText w:val="%1)"/>
      <w:lvlJc w:val="left"/>
      <w:pPr>
        <w:tabs>
          <w:tab w:val="left" w:pos="840"/>
        </w:tabs>
        <w:ind w:left="839" w:hanging="419"/>
      </w:pPr>
      <w:rPr>
        <w:rFonts w:hint="eastAsia" w:ascii="宋体" w:eastAsia="宋体"/>
        <w:b w:val="0"/>
        <w:bCs w:val="0"/>
        <w:i w:val="0"/>
        <w:iCs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bCs w:val="0"/>
        <w:i w:val="0"/>
        <w:iCs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4">
    <w:nsid w:val="4B733A5F"/>
    <w:multiLevelType w:val="multilevel"/>
    <w:tmpl w:val="4B733A5F"/>
    <w:lvl w:ilvl="0" w:tentative="0">
      <w:start w:val="1"/>
      <w:numFmt w:val="decimal"/>
      <w:pStyle w:val="96"/>
      <w:suff w:val="nothing"/>
      <w:lvlText w:val="示例%1："/>
      <w:lvlJc w:val="left"/>
      <w:pPr>
        <w:ind w:firstLine="363"/>
      </w:pPr>
      <w:rPr>
        <w:rFonts w:hint="eastAsia" w:ascii="黑体" w:hAnsi="Times New Roman" w:eastAsia="黑体"/>
        <w:b w:val="0"/>
        <w:bCs w:val="0"/>
        <w:i w:val="0"/>
        <w:iCs w:val="0"/>
        <w:sz w:val="18"/>
        <w:szCs w:val="18"/>
        <w:vertAlign w:val="baseline"/>
      </w:rPr>
    </w:lvl>
    <w:lvl w:ilvl="1" w:tentative="0">
      <w:start w:val="1"/>
      <w:numFmt w:val="none"/>
      <w:suff w:val="space"/>
      <w:lvlText w:val=""/>
      <w:lvlJc w:val="left"/>
      <w:rPr>
        <w:rFonts w:hint="eastAsia"/>
        <w:vertAlign w:val="baseline"/>
      </w:rPr>
    </w:lvl>
    <w:lvl w:ilvl="2" w:tentative="0">
      <w:start w:val="1"/>
      <w:numFmt w:val="decimal"/>
      <w:suff w:val="space"/>
      <w:lvlText w:val="2.2.%3"/>
      <w:lvlJc w:val="left"/>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25">
    <w:nsid w:val="4E5D0534"/>
    <w:multiLevelType w:val="multilevel"/>
    <w:tmpl w:val="4E5D0534"/>
    <w:lvl w:ilvl="0" w:tentative="0">
      <w:start w:val="1"/>
      <w:numFmt w:val="decimal"/>
      <w:pStyle w:val="240"/>
      <w:suff w:val="nothing"/>
      <w:lvlText w:val="Figure %1　"/>
      <w:lvlJc w:val="left"/>
    </w:lvl>
    <w:lvl w:ilvl="1" w:tentative="0">
      <w:start w:val="1"/>
      <w:numFmt w:val="decimal"/>
      <w:suff w:val="nothing"/>
      <w:lvlText w:val="%1%2　"/>
      <w:lvlJc w:val="left"/>
    </w:lvl>
    <w:lvl w:ilvl="2" w:tentative="0">
      <w:start w:val="1"/>
      <w:numFmt w:val="decimal"/>
      <w:suff w:val="nothing"/>
      <w:lvlText w:val="%1%2.%3　"/>
      <w:lvlJc w:val="left"/>
    </w:lvl>
    <w:lvl w:ilvl="3" w:tentative="0">
      <w:start w:val="1"/>
      <w:numFmt w:val="decimal"/>
      <w:suff w:val="nothing"/>
      <w:lvlText w:val="%1%2.%3.%4　"/>
      <w:lvlJc w:val="left"/>
    </w:lvl>
    <w:lvl w:ilvl="4" w:tentative="0">
      <w:start w:val="1"/>
      <w:numFmt w:val="decimal"/>
      <w:suff w:val="nothing"/>
      <w:lvlText w:val="%1%2.%3.%4.%5　"/>
      <w:lvlJc w:val="left"/>
    </w:lvl>
    <w:lvl w:ilvl="5" w:tentative="0">
      <w:start w:val="1"/>
      <w:numFmt w:val="decimal"/>
      <w:suff w:val="nothing"/>
      <w:lvlText w:val="%1%2.%3.%4.%5.%6　"/>
      <w:lvlJc w:val="left"/>
    </w:lvl>
    <w:lvl w:ilvl="6" w:tentative="0">
      <w:start w:val="1"/>
      <w:numFmt w:val="decimal"/>
      <w:suff w:val="nothing"/>
      <w:lvlText w:val="%1%2.%3.%4.%5.%6.%7　"/>
      <w:lvlJc w:val="left"/>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26">
    <w:nsid w:val="53BC0C12"/>
    <w:multiLevelType w:val="multilevel"/>
    <w:tmpl w:val="53BC0C1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54632751"/>
    <w:multiLevelType w:val="multilevel"/>
    <w:tmpl w:val="54632751"/>
    <w:lvl w:ilvl="0" w:tentative="0">
      <w:start w:val="1"/>
      <w:numFmt w:val="none"/>
      <w:pStyle w:val="219"/>
      <w:suff w:val="nothing"/>
      <w:lvlText w:val="——"/>
      <w:lvlJc w:val="left"/>
      <w:pPr>
        <w:ind w:left="1588"/>
      </w:pPr>
    </w:lvl>
    <w:lvl w:ilvl="1" w:tentative="0">
      <w:start w:val="1"/>
      <w:numFmt w:val="decimal"/>
      <w:suff w:val="nothing"/>
      <w:lvlText w:val="%1.%2　"/>
      <w:lvlJc w:val="left"/>
      <w:pPr>
        <w:ind w:left="1588"/>
      </w:pPr>
    </w:lvl>
    <w:lvl w:ilvl="2" w:tentative="0">
      <w:start w:val="1"/>
      <w:numFmt w:val="decimal"/>
      <w:suff w:val="nothing"/>
      <w:lvlText w:val="%1.%2.%3　"/>
      <w:lvlJc w:val="left"/>
      <w:pPr>
        <w:ind w:left="1588"/>
      </w:pPr>
    </w:lvl>
    <w:lvl w:ilvl="3" w:tentative="0">
      <w:start w:val="1"/>
      <w:numFmt w:val="decimal"/>
      <w:suff w:val="nothing"/>
      <w:lvlText w:val="%1.%2.%3.%4　"/>
      <w:lvlJc w:val="left"/>
      <w:pPr>
        <w:ind w:left="1588"/>
      </w:pPr>
    </w:lvl>
    <w:lvl w:ilvl="4" w:tentative="0">
      <w:start w:val="1"/>
      <w:numFmt w:val="decimal"/>
      <w:suff w:val="nothing"/>
      <w:lvlText w:val="%1.%2.%3.%4.%5　"/>
      <w:lvlJc w:val="left"/>
      <w:pPr>
        <w:ind w:left="1588"/>
      </w:pPr>
    </w:lvl>
    <w:lvl w:ilvl="5" w:tentative="0">
      <w:start w:val="1"/>
      <w:numFmt w:val="decimal"/>
      <w:suff w:val="nothing"/>
      <w:lvlText w:val="%1.%2.%3.%4.%5.%6　"/>
      <w:lvlJc w:val="left"/>
      <w:pPr>
        <w:ind w:left="1588"/>
      </w:pPr>
    </w:lvl>
    <w:lvl w:ilvl="6" w:tentative="0">
      <w:start w:val="1"/>
      <w:numFmt w:val="decimal"/>
      <w:suff w:val="nothing"/>
      <w:lvlText w:val="%1.%2.%3.%4.%5.%6.%7　"/>
      <w:lvlJc w:val="left"/>
      <w:pPr>
        <w:ind w:left="1588"/>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28">
    <w:nsid w:val="557C2AF5"/>
    <w:multiLevelType w:val="multilevel"/>
    <w:tmpl w:val="557C2AF5"/>
    <w:lvl w:ilvl="0" w:tentative="0">
      <w:start w:val="1"/>
      <w:numFmt w:val="decimal"/>
      <w:pStyle w:val="163"/>
      <w:suff w:val="nothing"/>
      <w:lvlText w:val="图%1　"/>
      <w:lvlJc w:val="left"/>
      <w:rPr>
        <w:rFonts w:hint="eastAsia" w:ascii="黑体" w:hAnsi="Times New Roman" w:eastAsia="黑体"/>
        <w:b w:val="0"/>
        <w:bCs w:val="0"/>
        <w:i w:val="0"/>
        <w:iCs w:val="0"/>
        <w:sz w:val="21"/>
        <w:szCs w:val="21"/>
      </w:rPr>
    </w:lvl>
    <w:lvl w:ilvl="1" w:tentative="0">
      <w:start w:val="1"/>
      <w:numFmt w:val="decimal"/>
      <w:suff w:val="nothing"/>
      <w:lvlText w:val="%1%2　"/>
      <w:lvlJc w:val="left"/>
      <w:rPr>
        <w:rFonts w:hint="default" w:ascii="Times New Roman" w:hAnsi="Times New Roman" w:eastAsia="黑体"/>
        <w:b w:val="0"/>
        <w:bCs w:val="0"/>
        <w:i w:val="0"/>
        <w:iCs w:val="0"/>
        <w:sz w:val="21"/>
        <w:szCs w:val="21"/>
      </w:rPr>
    </w:lvl>
    <w:lvl w:ilvl="2" w:tentative="0">
      <w:start w:val="1"/>
      <w:numFmt w:val="decimal"/>
      <w:suff w:val="nothing"/>
      <w:lvlText w:val="%1%2.%3　"/>
      <w:lvlJc w:val="left"/>
      <w:rPr>
        <w:rFonts w:hint="default" w:ascii="Times New Roman" w:hAnsi="Times New Roman" w:eastAsia="黑体"/>
        <w:b w:val="0"/>
        <w:bCs w:val="0"/>
        <w:i w:val="0"/>
        <w:iCs w:val="0"/>
        <w:sz w:val="21"/>
        <w:szCs w:val="21"/>
      </w:rPr>
    </w:lvl>
    <w:lvl w:ilvl="3" w:tentative="0">
      <w:start w:val="1"/>
      <w:numFmt w:val="decimal"/>
      <w:suff w:val="nothing"/>
      <w:lvlText w:val="%1%2.%3.%4　"/>
      <w:lvlJc w:val="left"/>
      <w:rPr>
        <w:rFonts w:hint="default" w:ascii="Times New Roman" w:hAnsi="Times New Roman" w:eastAsia="黑体"/>
        <w:b w:val="0"/>
        <w:bCs w:val="0"/>
        <w:i w:val="0"/>
        <w:iCs w:val="0"/>
        <w:sz w:val="21"/>
        <w:szCs w:val="21"/>
      </w:rPr>
    </w:lvl>
    <w:lvl w:ilvl="4" w:tentative="0">
      <w:start w:val="1"/>
      <w:numFmt w:val="decimal"/>
      <w:suff w:val="nothing"/>
      <w:lvlText w:val="%1%2.%3.%4.%5　"/>
      <w:lvlJc w:val="left"/>
      <w:rPr>
        <w:rFonts w:hint="default" w:ascii="Times New Roman" w:hAnsi="Times New Roman" w:eastAsia="黑体"/>
        <w:b w:val="0"/>
        <w:bCs w:val="0"/>
        <w:i w:val="0"/>
        <w:iCs w:val="0"/>
        <w:sz w:val="21"/>
        <w:szCs w:val="21"/>
      </w:rPr>
    </w:lvl>
    <w:lvl w:ilvl="5" w:tentative="0">
      <w:start w:val="1"/>
      <w:numFmt w:val="decimal"/>
      <w:suff w:val="nothing"/>
      <w:lvlText w:val="%1%2.%3.%4.%5.%6　"/>
      <w:lvlJc w:val="left"/>
      <w:rPr>
        <w:rFonts w:hint="default" w:ascii="Times New Roman" w:hAnsi="Times New Roman" w:eastAsia="黑体"/>
        <w:b w:val="0"/>
        <w:bCs w:val="0"/>
        <w:i w:val="0"/>
        <w:iCs w:val="0"/>
        <w:sz w:val="21"/>
        <w:szCs w:val="21"/>
      </w:rPr>
    </w:lvl>
    <w:lvl w:ilvl="6" w:tentative="0">
      <w:start w:val="1"/>
      <w:numFmt w:val="decimal"/>
      <w:suff w:val="nothing"/>
      <w:lvlText w:val="%1%2.%3.%4.%5.%6.%7　"/>
      <w:lvlJc w:val="left"/>
      <w:rPr>
        <w:rFonts w:hint="default" w:ascii="Times New Roman" w:hAnsi="Times New Roman" w:eastAsia="黑体"/>
        <w:b w:val="0"/>
        <w:bCs w:val="0"/>
        <w:i w:val="0"/>
        <w:iCs w:val="0"/>
        <w:sz w:val="21"/>
        <w:szCs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9">
    <w:nsid w:val="5603797C"/>
    <w:multiLevelType w:val="multilevel"/>
    <w:tmpl w:val="5603797C"/>
    <w:lvl w:ilvl="0" w:tentative="0">
      <w:start w:val="1"/>
      <w:numFmt w:val="upperLetter"/>
      <w:pStyle w:val="306"/>
      <w:suff w:val="space"/>
      <w:lvlText w:val="%1"/>
      <w:lvlJc w:val="left"/>
      <w:pPr>
        <w:ind w:left="425" w:hanging="425"/>
      </w:pPr>
      <w:rPr>
        <w:rFonts w:hint="eastAsia"/>
      </w:rPr>
    </w:lvl>
    <w:lvl w:ilvl="1" w:tentative="0">
      <w:start w:val="1"/>
      <w:numFmt w:val="decimal"/>
      <w:pStyle w:val="204"/>
      <w:suff w:val="space"/>
      <w:lvlText w:val="表%1.%2"/>
      <w:lvlJc w:val="center"/>
      <w:rPr>
        <w:rFonts w:hint="eastAsia" w:ascii="黑体" w:eastAsia="黑体"/>
        <w:sz w:val="21"/>
        <w:szCs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0">
    <w:nsid w:val="564D2089"/>
    <w:multiLevelType w:val="multilevel"/>
    <w:tmpl w:val="564D2089"/>
    <w:lvl w:ilvl="0" w:tentative="0">
      <w:start w:val="1"/>
      <w:numFmt w:val="none"/>
      <w:pStyle w:val="236"/>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1">
    <w:nsid w:val="60B55DC2"/>
    <w:multiLevelType w:val="multilevel"/>
    <w:tmpl w:val="60B55DC2"/>
    <w:lvl w:ilvl="0" w:tentative="0">
      <w:start w:val="1"/>
      <w:numFmt w:val="upperLetter"/>
      <w:pStyle w:val="120"/>
      <w:lvlText w:val="%1"/>
      <w:lvlJc w:val="left"/>
      <w:pPr>
        <w:tabs>
          <w:tab w:val="left" w:pos="0"/>
        </w:tabs>
        <w:ind w:hanging="425"/>
      </w:pPr>
      <w:rPr>
        <w:rFonts w:hint="eastAsia"/>
      </w:rPr>
    </w:lvl>
    <w:lvl w:ilvl="1" w:tentative="0">
      <w:start w:val="1"/>
      <w:numFmt w:val="decimal"/>
      <w:pStyle w:val="121"/>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32">
    <w:nsid w:val="644622F9"/>
    <w:multiLevelType w:val="multilevel"/>
    <w:tmpl w:val="644622F9"/>
    <w:lvl w:ilvl="0" w:tentative="0">
      <w:start w:val="1"/>
      <w:numFmt w:val="upperRoman"/>
      <w:pStyle w:val="278"/>
      <w:lvlText w:val="%1)"/>
      <w:lvlJc w:val="left"/>
      <w:pPr>
        <w:tabs>
          <w:tab w:val="left" w:pos="851"/>
        </w:tabs>
        <w:ind w:left="851" w:hanging="426"/>
      </w:pPr>
      <w:rPr>
        <w:rFonts w:hint="eastAsia" w:ascii="宋体" w:hAnsi="Times New Roman" w:eastAsia="宋体"/>
        <w:sz w:val="21"/>
        <w:szCs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33">
    <w:nsid w:val="646260FA"/>
    <w:multiLevelType w:val="multilevel"/>
    <w:tmpl w:val="646260FA"/>
    <w:lvl w:ilvl="0" w:tentative="0">
      <w:start w:val="1"/>
      <w:numFmt w:val="decimal"/>
      <w:pStyle w:val="161"/>
      <w:suff w:val="nothing"/>
      <w:lvlText w:val="表%1　"/>
      <w:lvlJc w:val="left"/>
      <w:rPr>
        <w:rFonts w:hint="eastAsia" w:ascii="黑体" w:hAnsi="Times New Roman" w:eastAsia="黑体"/>
        <w:b w:val="0"/>
        <w:bCs w:val="0"/>
        <w:i w:val="0"/>
        <w:iCs w:val="0"/>
        <w:sz w:val="21"/>
        <w:szCs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4">
    <w:nsid w:val="654A26C9"/>
    <w:multiLevelType w:val="multilevel"/>
    <w:tmpl w:val="654A26C9"/>
    <w:lvl w:ilvl="0" w:tentative="0">
      <w:start w:val="1"/>
      <w:numFmt w:val="none"/>
      <w:pStyle w:val="298"/>
      <w:lvlText w:val="──"/>
      <w:lvlJc w:val="left"/>
      <w:pPr>
        <w:ind w:left="851"/>
      </w:pPr>
      <w:rPr>
        <w:rFonts w:hint="eastAsia" w:ascii="宋体" w:hAnsi="Calibri Light" w:eastAsia="宋体"/>
        <w:b w:val="0"/>
        <w:bCs w:val="0"/>
        <w:i w:val="0"/>
        <w:iCs w:val="0"/>
        <w:sz w:val="21"/>
        <w:szCs w:val="21"/>
      </w:rPr>
    </w:lvl>
    <w:lvl w:ilvl="1" w:tentative="0">
      <w:start w:val="1"/>
      <w:numFmt w:val="bullet"/>
      <w:lvlText w:val=""/>
      <w:lvlJc w:val="left"/>
      <w:pPr>
        <w:ind w:left="1276" w:hanging="425"/>
      </w:pPr>
      <w:rPr>
        <w:rFonts w:hint="default" w:ascii="Wingdings" w:hAnsi="Wingdings" w:cs="Wingdings"/>
      </w:rPr>
    </w:lvl>
    <w:lvl w:ilvl="2" w:tentative="0">
      <w:start w:val="1"/>
      <w:numFmt w:val="bullet"/>
      <w:lvlText w:val=""/>
      <w:lvlJc w:val="left"/>
      <w:pPr>
        <w:ind w:left="1276" w:hanging="236"/>
      </w:pPr>
      <w:rPr>
        <w:rFonts w:hint="default" w:ascii="Wingdings" w:hAnsi="Wingdings" w:cs="Wingdings"/>
      </w:rPr>
    </w:lvl>
    <w:lvl w:ilvl="3" w:tentative="0">
      <w:start w:val="1"/>
      <w:numFmt w:val="bullet"/>
      <w:lvlText w:val=""/>
      <w:lvlJc w:val="left"/>
      <w:pPr>
        <w:ind w:left="1880" w:hanging="420"/>
      </w:pPr>
      <w:rPr>
        <w:rFonts w:hint="default" w:ascii="Wingdings" w:hAnsi="Wingdings" w:cs="Wingdings"/>
      </w:rPr>
    </w:lvl>
    <w:lvl w:ilvl="4" w:tentative="0">
      <w:start w:val="1"/>
      <w:numFmt w:val="bullet"/>
      <w:lvlText w:val=""/>
      <w:lvlJc w:val="left"/>
      <w:pPr>
        <w:ind w:left="2300" w:hanging="420"/>
      </w:pPr>
      <w:rPr>
        <w:rFonts w:hint="default" w:ascii="Wingdings" w:hAnsi="Wingdings" w:cs="Wingdings"/>
      </w:rPr>
    </w:lvl>
    <w:lvl w:ilvl="5" w:tentative="0">
      <w:start w:val="1"/>
      <w:numFmt w:val="bullet"/>
      <w:lvlText w:val=""/>
      <w:lvlJc w:val="left"/>
      <w:pPr>
        <w:ind w:left="2720" w:hanging="420"/>
      </w:pPr>
      <w:rPr>
        <w:rFonts w:hint="default" w:ascii="Wingdings" w:hAnsi="Wingdings" w:cs="Wingdings"/>
      </w:rPr>
    </w:lvl>
    <w:lvl w:ilvl="6" w:tentative="0">
      <w:start w:val="1"/>
      <w:numFmt w:val="bullet"/>
      <w:lvlText w:val=""/>
      <w:lvlJc w:val="left"/>
      <w:pPr>
        <w:ind w:left="3140" w:hanging="420"/>
      </w:pPr>
      <w:rPr>
        <w:rFonts w:hint="default" w:ascii="Wingdings" w:hAnsi="Wingdings" w:cs="Wingdings"/>
      </w:rPr>
    </w:lvl>
    <w:lvl w:ilvl="7" w:tentative="0">
      <w:start w:val="1"/>
      <w:numFmt w:val="bullet"/>
      <w:lvlText w:val=""/>
      <w:lvlJc w:val="left"/>
      <w:pPr>
        <w:ind w:left="3560" w:hanging="420"/>
      </w:pPr>
      <w:rPr>
        <w:rFonts w:hint="default" w:ascii="Wingdings" w:hAnsi="Wingdings" w:cs="Wingdings"/>
      </w:rPr>
    </w:lvl>
    <w:lvl w:ilvl="8" w:tentative="0">
      <w:start w:val="1"/>
      <w:numFmt w:val="bullet"/>
      <w:lvlText w:val=""/>
      <w:lvlJc w:val="left"/>
      <w:pPr>
        <w:ind w:left="3980" w:hanging="420"/>
      </w:pPr>
      <w:rPr>
        <w:rFonts w:hint="default" w:ascii="Wingdings" w:hAnsi="Wingdings" w:cs="Wingdings"/>
      </w:rPr>
    </w:lvl>
  </w:abstractNum>
  <w:abstractNum w:abstractNumId="35">
    <w:nsid w:val="657D3FBC"/>
    <w:multiLevelType w:val="multilevel"/>
    <w:tmpl w:val="657D3FBC"/>
    <w:lvl w:ilvl="0" w:tentative="0">
      <w:start w:val="1"/>
      <w:numFmt w:val="upperLetter"/>
      <w:pStyle w:val="118"/>
      <w:suff w:val="nothing"/>
      <w:lvlText w:val="附　录　%1"/>
      <w:lvlJc w:val="left"/>
      <w:rPr>
        <w:rFonts w:hint="eastAsia" w:ascii="黑体" w:hAnsi="Times New Roman" w:eastAsia="黑体"/>
        <w:b w:val="0"/>
        <w:bCs w:val="0"/>
        <w:i w:val="0"/>
        <w:iCs w:val="0"/>
        <w:spacing w:val="0"/>
        <w:w w:val="100"/>
        <w:sz w:val="21"/>
        <w:szCs w:val="21"/>
      </w:rPr>
    </w:lvl>
    <w:lvl w:ilvl="1" w:tentative="0">
      <w:start w:val="1"/>
      <w:numFmt w:val="decimal"/>
      <w:pStyle w:val="136"/>
      <w:suff w:val="nothing"/>
      <w:lvlText w:val="%1.%2　"/>
      <w:lvlJc w:val="left"/>
      <w:pPr>
        <w:ind w:left="3828"/>
      </w:pPr>
      <w:rPr>
        <w:rFonts w:hint="eastAsia" w:ascii="黑体" w:hAnsi="Times New Roman" w:eastAsia="黑体"/>
        <w:b w:val="0"/>
        <w:bCs w:val="0"/>
        <w:i w:val="0"/>
        <w:iCs w:val="0"/>
        <w:snapToGrid/>
        <w:spacing w:val="0"/>
        <w:w w:val="100"/>
        <w:kern w:val="21"/>
        <w:sz w:val="21"/>
        <w:szCs w:val="21"/>
      </w:rPr>
    </w:lvl>
    <w:lvl w:ilvl="2" w:tentative="0">
      <w:start w:val="1"/>
      <w:numFmt w:val="decimal"/>
      <w:pStyle w:val="137"/>
      <w:suff w:val="nothing"/>
      <w:lvlText w:val="%1.%2.%3　"/>
      <w:lvlJc w:val="left"/>
      <w:pPr>
        <w:ind w:left="426"/>
      </w:pPr>
      <w:rPr>
        <w:rFonts w:hint="eastAsia" w:ascii="黑体" w:hAnsi="Times New Roman" w:eastAsia="黑体"/>
        <w:b w:val="0"/>
        <w:bCs w:val="0"/>
        <w:i w:val="0"/>
        <w:iCs w:val="0"/>
        <w:sz w:val="21"/>
        <w:szCs w:val="21"/>
      </w:rPr>
    </w:lvl>
    <w:lvl w:ilvl="3" w:tentative="0">
      <w:start w:val="1"/>
      <w:numFmt w:val="decimal"/>
      <w:pStyle w:val="122"/>
      <w:suff w:val="nothing"/>
      <w:lvlText w:val="%1.%2.%3.%4　"/>
      <w:lvlJc w:val="left"/>
      <w:rPr>
        <w:rFonts w:hint="eastAsia" w:ascii="黑体" w:hAnsi="Times New Roman" w:eastAsia="黑体"/>
        <w:b w:val="0"/>
        <w:bCs w:val="0"/>
        <w:i w:val="0"/>
        <w:iCs w:val="0"/>
        <w:sz w:val="21"/>
        <w:szCs w:val="21"/>
      </w:rPr>
    </w:lvl>
    <w:lvl w:ilvl="4" w:tentative="0">
      <w:start w:val="1"/>
      <w:numFmt w:val="decimal"/>
      <w:pStyle w:val="127"/>
      <w:suff w:val="nothing"/>
      <w:lvlText w:val="%1.%2.%3.%4.%5　"/>
      <w:lvlJc w:val="left"/>
      <w:rPr>
        <w:rFonts w:hint="eastAsia" w:ascii="黑体" w:hAnsi="Times New Roman" w:eastAsia="黑体"/>
        <w:b w:val="0"/>
        <w:bCs w:val="0"/>
        <w:i w:val="0"/>
        <w:iCs w:val="0"/>
        <w:sz w:val="21"/>
        <w:szCs w:val="21"/>
      </w:rPr>
    </w:lvl>
    <w:lvl w:ilvl="5" w:tentative="0">
      <w:start w:val="1"/>
      <w:numFmt w:val="decimal"/>
      <w:pStyle w:val="130"/>
      <w:suff w:val="nothing"/>
      <w:lvlText w:val="%1.%2.%3.%4.%5.%6　"/>
      <w:lvlJc w:val="left"/>
      <w:rPr>
        <w:rFonts w:hint="eastAsia" w:ascii="黑体" w:hAnsi="Times New Roman" w:eastAsia="黑体"/>
        <w:b w:val="0"/>
        <w:bCs w:val="0"/>
        <w:i w:val="0"/>
        <w:iCs w:val="0"/>
        <w:sz w:val="21"/>
        <w:szCs w:val="21"/>
      </w:rPr>
    </w:lvl>
    <w:lvl w:ilvl="6" w:tentative="0">
      <w:start w:val="1"/>
      <w:numFmt w:val="decimal"/>
      <w:pStyle w:val="134"/>
      <w:suff w:val="nothing"/>
      <w:lvlText w:val="%1.%2.%3.%4.%5.%6.%7　"/>
      <w:lvlJc w:val="left"/>
      <w:rPr>
        <w:rFonts w:hint="eastAsia" w:ascii="黑体" w:hAnsi="Times New Roman" w:eastAsia="黑体"/>
        <w:b w:val="0"/>
        <w:bCs w:val="0"/>
        <w:i w:val="0"/>
        <w:iCs w:val="0"/>
        <w:sz w:val="21"/>
        <w:szCs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6">
    <w:nsid w:val="69506ABF"/>
    <w:multiLevelType w:val="multilevel"/>
    <w:tmpl w:val="69506ABF"/>
    <w:lvl w:ilvl="0" w:tentative="0">
      <w:start w:val="1"/>
      <w:numFmt w:val="bullet"/>
      <w:pStyle w:val="297"/>
      <w:lvlText w:val=""/>
      <w:lvlJc w:val="left"/>
      <w:pPr>
        <w:ind w:left="851"/>
      </w:pPr>
      <w:rPr>
        <w:rFonts w:hint="default" w:ascii="Wingdings" w:hAnsi="Wingdings" w:cs="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37">
    <w:nsid w:val="6CA41985"/>
    <w:multiLevelType w:val="multilevel"/>
    <w:tmpl w:val="6CA41985"/>
    <w:lvl w:ilvl="0" w:tentative="0">
      <w:start w:val="1"/>
      <w:numFmt w:val="decimal"/>
      <w:pStyle w:val="223"/>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8">
    <w:nsid w:val="6CEA2025"/>
    <w:multiLevelType w:val="multilevel"/>
    <w:tmpl w:val="6CEA2025"/>
    <w:lvl w:ilvl="0" w:tentative="0">
      <w:start w:val="1"/>
      <w:numFmt w:val="none"/>
      <w:pStyle w:val="264"/>
      <w:suff w:val="nothing"/>
      <w:lvlText w:val="%1"/>
      <w:lvlJc w:val="left"/>
      <w:rPr>
        <w:rFonts w:hint="eastAsia"/>
      </w:rPr>
    </w:lvl>
    <w:lvl w:ilvl="1" w:tentative="0">
      <w:start w:val="1"/>
      <w:numFmt w:val="decimal"/>
      <w:pStyle w:val="229"/>
      <w:suff w:val="nothing"/>
      <w:lvlText w:val="%1%2　"/>
      <w:lvlJc w:val="left"/>
      <w:rPr>
        <w:rFonts w:hint="eastAsia" w:ascii="黑体" w:eastAsia="黑体"/>
        <w:b w:val="0"/>
        <w:bCs w:val="0"/>
        <w:i w:val="0"/>
        <w:iCs w:val="0"/>
        <w:sz w:val="21"/>
        <w:szCs w:val="21"/>
      </w:rPr>
    </w:lvl>
    <w:lvl w:ilvl="2" w:tentative="0">
      <w:start w:val="1"/>
      <w:numFmt w:val="decimal"/>
      <w:pStyle w:val="230"/>
      <w:suff w:val="nothing"/>
      <w:lvlText w:val="%1%2.%3　"/>
      <w:lvlJc w:val="left"/>
      <w:rPr>
        <w:rFonts w:hint="eastAsia" w:ascii="黑体" w:hAnsi="Times New Roman" w:eastAsia="黑体"/>
        <w:b w:val="0"/>
        <w:bCs w:val="0"/>
        <w:i w:val="0"/>
        <w:iCs w:val="0"/>
        <w:caps w:val="0"/>
        <w:smallCaps w:val="0"/>
        <w:strike w:val="0"/>
        <w:dstrike w:val="0"/>
        <w:vanish w:val="0"/>
        <w:color w:val="000000"/>
        <w:spacing w:val="0"/>
        <w:kern w:val="0"/>
        <w:position w:val="0"/>
        <w:sz w:val="21"/>
        <w:szCs w:val="21"/>
        <w:u w:val="none"/>
        <w:vertAlign w:val="baseline"/>
      </w:rPr>
    </w:lvl>
    <w:lvl w:ilvl="3" w:tentative="0">
      <w:start w:val="1"/>
      <w:numFmt w:val="decimal"/>
      <w:pStyle w:val="192"/>
      <w:suff w:val="nothing"/>
      <w:lvlText w:val="%1%2.%3.%4　"/>
      <w:lvlJc w:val="left"/>
      <w:rPr>
        <w:rFonts w:hint="eastAsia" w:ascii="黑体" w:eastAsia="黑体"/>
        <w:b w:val="0"/>
        <w:bCs w:val="0"/>
        <w:i w:val="0"/>
        <w:iCs w:val="0"/>
        <w:sz w:val="21"/>
        <w:szCs w:val="21"/>
      </w:rPr>
    </w:lvl>
    <w:lvl w:ilvl="4" w:tentative="0">
      <w:start w:val="1"/>
      <w:numFmt w:val="decimal"/>
      <w:pStyle w:val="220"/>
      <w:suff w:val="nothing"/>
      <w:lvlText w:val="%1%2.%3.%4.%5　"/>
      <w:lvlJc w:val="left"/>
      <w:rPr>
        <w:rFonts w:hint="eastAsia" w:ascii="黑体" w:eastAsia="黑体"/>
        <w:b w:val="0"/>
        <w:bCs w:val="0"/>
        <w:i w:val="0"/>
        <w:iCs w:val="0"/>
        <w:sz w:val="21"/>
        <w:szCs w:val="21"/>
      </w:rPr>
    </w:lvl>
    <w:lvl w:ilvl="5" w:tentative="0">
      <w:start w:val="1"/>
      <w:numFmt w:val="decimal"/>
      <w:pStyle w:val="224"/>
      <w:suff w:val="nothing"/>
      <w:lvlText w:val="%1%2.%3.%4.%5.%6　"/>
      <w:lvlJc w:val="left"/>
      <w:rPr>
        <w:rFonts w:hint="eastAsia" w:ascii="黑体" w:eastAsia="黑体"/>
        <w:b w:val="0"/>
        <w:bCs w:val="0"/>
        <w:i w:val="0"/>
        <w:iCs w:val="0"/>
        <w:sz w:val="21"/>
        <w:szCs w:val="21"/>
      </w:rPr>
    </w:lvl>
    <w:lvl w:ilvl="6" w:tentative="0">
      <w:start w:val="1"/>
      <w:numFmt w:val="decimal"/>
      <w:pStyle w:val="228"/>
      <w:suff w:val="nothing"/>
      <w:lvlText w:val="%1%2.%3.%4.%5.%6.%7　"/>
      <w:lvlJc w:val="left"/>
      <w:rPr>
        <w:rFonts w:hint="eastAsia" w:ascii="黑体" w:eastAsia="黑体"/>
        <w:b w:val="0"/>
        <w:bCs w:val="0"/>
        <w:i w:val="0"/>
        <w:iCs w:val="0"/>
        <w:sz w:val="21"/>
        <w:szCs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9">
    <w:nsid w:val="6D6C07CD"/>
    <w:multiLevelType w:val="multilevel"/>
    <w:tmpl w:val="6D6C07CD"/>
    <w:lvl w:ilvl="0" w:tentative="0">
      <w:start w:val="1"/>
      <w:numFmt w:val="lowerLetter"/>
      <w:pStyle w:val="139"/>
      <w:lvlText w:val="%1)"/>
      <w:lvlJc w:val="left"/>
      <w:pPr>
        <w:tabs>
          <w:tab w:val="left" w:pos="839"/>
        </w:tabs>
        <w:ind w:left="839" w:hanging="419"/>
      </w:pPr>
      <w:rPr>
        <w:rFonts w:hint="eastAsia" w:ascii="宋体" w:eastAsia="宋体"/>
        <w:b w:val="0"/>
        <w:bCs w:val="0"/>
        <w:i w:val="0"/>
        <w:iCs w:val="0"/>
        <w:sz w:val="21"/>
        <w:szCs w:val="21"/>
      </w:rPr>
    </w:lvl>
    <w:lvl w:ilvl="1" w:tentative="0">
      <w:start w:val="1"/>
      <w:numFmt w:val="decimal"/>
      <w:pStyle w:val="129"/>
      <w:lvlText w:val="%2)"/>
      <w:lvlJc w:val="left"/>
      <w:pPr>
        <w:tabs>
          <w:tab w:val="left" w:pos="840"/>
        </w:tabs>
        <w:ind w:left="839" w:hanging="419"/>
      </w:pPr>
      <w:rPr>
        <w:rFonts w:hint="eastAsia" w:ascii="宋体" w:eastAsia="宋体"/>
        <w:b w:val="0"/>
        <w:bCs w:val="0"/>
        <w:i w:val="0"/>
        <w:iCs w:val="0"/>
        <w:sz w:val="21"/>
        <w:szCs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40">
    <w:nsid w:val="6DBF04F4"/>
    <w:multiLevelType w:val="multilevel"/>
    <w:tmpl w:val="6DBF04F4"/>
    <w:lvl w:ilvl="0" w:tentative="0">
      <w:start w:val="1"/>
      <w:numFmt w:val="none"/>
      <w:pStyle w:val="91"/>
      <w:suff w:val="nothing"/>
      <w:lvlText w:val="%1注："/>
      <w:lvlJc w:val="left"/>
      <w:pPr>
        <w:ind w:left="726" w:hanging="363"/>
      </w:pPr>
      <w:rPr>
        <w:rFonts w:hint="eastAsia" w:ascii="黑体" w:hAnsi="Times New Roman" w:eastAsia="黑体"/>
        <w:b w:val="0"/>
        <w:bCs w:val="0"/>
        <w:i w:val="0"/>
        <w:iCs w:val="0"/>
        <w:sz w:val="18"/>
        <w:szCs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41">
    <w:nsid w:val="6DF35F19"/>
    <w:multiLevelType w:val="multilevel"/>
    <w:tmpl w:val="6DF35F19"/>
    <w:lvl w:ilvl="0" w:tentative="0">
      <w:start w:val="1"/>
      <w:numFmt w:val="decimal"/>
      <w:pStyle w:val="239"/>
      <w:suff w:val="nothing"/>
      <w:lvlText w:val="Table %1　"/>
      <w:lvlJc w:val="left"/>
    </w:lvl>
    <w:lvl w:ilvl="1" w:tentative="0">
      <w:start w:val="1"/>
      <w:numFmt w:val="decimal"/>
      <w:suff w:val="nothing"/>
      <w:lvlText w:val="%1%2　"/>
      <w:lvlJc w:val="left"/>
    </w:lvl>
    <w:lvl w:ilvl="2" w:tentative="0">
      <w:start w:val="1"/>
      <w:numFmt w:val="decimal"/>
      <w:suff w:val="nothing"/>
      <w:lvlText w:val="%1%2.%3　"/>
      <w:lvlJc w:val="left"/>
    </w:lvl>
    <w:lvl w:ilvl="3" w:tentative="0">
      <w:start w:val="1"/>
      <w:numFmt w:val="decimal"/>
      <w:suff w:val="nothing"/>
      <w:lvlText w:val="%1%2.%3.%4　"/>
      <w:lvlJc w:val="left"/>
    </w:lvl>
    <w:lvl w:ilvl="4" w:tentative="0">
      <w:start w:val="1"/>
      <w:numFmt w:val="decimal"/>
      <w:suff w:val="nothing"/>
      <w:lvlText w:val="%1%2.%3.%4.%5　"/>
      <w:lvlJc w:val="left"/>
    </w:lvl>
    <w:lvl w:ilvl="5" w:tentative="0">
      <w:start w:val="1"/>
      <w:numFmt w:val="decimal"/>
      <w:suff w:val="nothing"/>
      <w:lvlText w:val="%1%2.%3.%4.%5.%6　"/>
      <w:lvlJc w:val="left"/>
    </w:lvl>
    <w:lvl w:ilvl="6" w:tentative="0">
      <w:start w:val="1"/>
      <w:numFmt w:val="decimal"/>
      <w:suff w:val="nothing"/>
      <w:lvlText w:val="%1%2.%3.%4.%5.%6.%7　"/>
      <w:lvlJc w:val="left"/>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42">
    <w:nsid w:val="76933334"/>
    <w:multiLevelType w:val="multilevel"/>
    <w:tmpl w:val="76933334"/>
    <w:lvl w:ilvl="0" w:tentative="0">
      <w:start w:val="1"/>
      <w:numFmt w:val="none"/>
      <w:pStyle w:val="254"/>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8"/>
  </w:num>
  <w:num w:numId="2">
    <w:abstractNumId w:val="14"/>
  </w:num>
  <w:num w:numId="3">
    <w:abstractNumId w:val="16"/>
  </w:num>
  <w:num w:numId="4">
    <w:abstractNumId w:val="5"/>
  </w:num>
  <w:num w:numId="5">
    <w:abstractNumId w:val="21"/>
  </w:num>
  <w:num w:numId="6">
    <w:abstractNumId w:val="40"/>
  </w:num>
  <w:num w:numId="7">
    <w:abstractNumId w:val="2"/>
  </w:num>
  <w:num w:numId="8">
    <w:abstractNumId w:val="23"/>
  </w:num>
  <w:num w:numId="9">
    <w:abstractNumId w:val="24"/>
  </w:num>
  <w:num w:numId="10">
    <w:abstractNumId w:val="12"/>
  </w:num>
  <w:num w:numId="11">
    <w:abstractNumId w:val="35"/>
  </w:num>
  <w:num w:numId="12">
    <w:abstractNumId w:val="31"/>
  </w:num>
  <w:num w:numId="13">
    <w:abstractNumId w:val="39"/>
  </w:num>
  <w:num w:numId="14">
    <w:abstractNumId w:val="15"/>
  </w:num>
  <w:num w:numId="15">
    <w:abstractNumId w:val="4"/>
  </w:num>
  <w:num w:numId="16">
    <w:abstractNumId w:val="8"/>
  </w:num>
  <w:num w:numId="17">
    <w:abstractNumId w:val="33"/>
  </w:num>
  <w:num w:numId="18">
    <w:abstractNumId w:val="28"/>
  </w:num>
  <w:num w:numId="19">
    <w:abstractNumId w:val="0"/>
  </w:num>
  <w:num w:numId="20">
    <w:abstractNumId w:val="38"/>
  </w:num>
  <w:num w:numId="21">
    <w:abstractNumId w:val="6"/>
  </w:num>
  <w:num w:numId="22">
    <w:abstractNumId w:val="29"/>
  </w:num>
  <w:num w:numId="23">
    <w:abstractNumId w:val="22"/>
  </w:num>
  <w:num w:numId="24">
    <w:abstractNumId w:val="11"/>
  </w:num>
  <w:num w:numId="25">
    <w:abstractNumId w:val="3"/>
  </w:num>
  <w:num w:numId="26">
    <w:abstractNumId w:val="13"/>
  </w:num>
  <w:num w:numId="27">
    <w:abstractNumId w:val="27"/>
  </w:num>
  <w:num w:numId="28">
    <w:abstractNumId w:val="37"/>
  </w:num>
  <w:num w:numId="29">
    <w:abstractNumId w:val="17"/>
  </w:num>
  <w:num w:numId="30">
    <w:abstractNumId w:val="20"/>
  </w:num>
  <w:num w:numId="31">
    <w:abstractNumId w:val="10"/>
  </w:num>
  <w:num w:numId="32">
    <w:abstractNumId w:val="30"/>
  </w:num>
  <w:num w:numId="33">
    <w:abstractNumId w:val="41"/>
  </w:num>
  <w:num w:numId="34">
    <w:abstractNumId w:val="25"/>
  </w:num>
  <w:num w:numId="35">
    <w:abstractNumId w:val="1"/>
  </w:num>
  <w:num w:numId="36">
    <w:abstractNumId w:val="42"/>
  </w:num>
  <w:num w:numId="37">
    <w:abstractNumId w:val="32"/>
  </w:num>
  <w:num w:numId="38">
    <w:abstractNumId w:val="7"/>
  </w:num>
  <w:num w:numId="39">
    <w:abstractNumId w:val="36"/>
  </w:num>
  <w:num w:numId="40">
    <w:abstractNumId w:val="34"/>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num>
  <w:num w:numId="51">
    <w:abstractNumId w:val="9"/>
  </w:num>
  <w:num w:numId="5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val="1"/>
  <w:bordersDoNotSurroundHeader w:val="1"/>
  <w:bordersDoNotSurroundFooter w:val="1"/>
  <w:documentProtection w:edit="forms" w:enforcement="0"/>
  <w:defaultTabStop w:val="420"/>
  <w:doNotHyphenateCaps/>
  <w:evenAndOddHeaders w:val="1"/>
  <w:drawingGridHorizontalSpacing w:val="105"/>
  <w:drawingGridVerticalSpacing w:val="156"/>
  <w:doNotShadeFormData w:val="1"/>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DVlMDZlYzcyOTExMjYxNzA5NjY3MTFmNzczOGM0ZjAifQ=="/>
  </w:docVars>
  <w:rsids>
    <w:rsidRoot w:val="006B3BB0"/>
    <w:rsid w:val="00000244"/>
    <w:rsid w:val="0000024A"/>
    <w:rsid w:val="0000066B"/>
    <w:rsid w:val="00000A9A"/>
    <w:rsid w:val="000015EA"/>
    <w:rsid w:val="0000185F"/>
    <w:rsid w:val="000056DA"/>
    <w:rsid w:val="0000586F"/>
    <w:rsid w:val="00006FEF"/>
    <w:rsid w:val="000070CA"/>
    <w:rsid w:val="0001018F"/>
    <w:rsid w:val="00013D86"/>
    <w:rsid w:val="00013E02"/>
    <w:rsid w:val="00013FD4"/>
    <w:rsid w:val="00015A49"/>
    <w:rsid w:val="00015EC8"/>
    <w:rsid w:val="0001669B"/>
    <w:rsid w:val="00016D94"/>
    <w:rsid w:val="00017354"/>
    <w:rsid w:val="0002143C"/>
    <w:rsid w:val="0002409D"/>
    <w:rsid w:val="00024940"/>
    <w:rsid w:val="0002574A"/>
    <w:rsid w:val="00025A65"/>
    <w:rsid w:val="0002686B"/>
    <w:rsid w:val="00026C31"/>
    <w:rsid w:val="00027280"/>
    <w:rsid w:val="0002769B"/>
    <w:rsid w:val="0002773E"/>
    <w:rsid w:val="000279A0"/>
    <w:rsid w:val="00027C4B"/>
    <w:rsid w:val="000302D0"/>
    <w:rsid w:val="00030D05"/>
    <w:rsid w:val="00030D6B"/>
    <w:rsid w:val="000311D4"/>
    <w:rsid w:val="000312B8"/>
    <w:rsid w:val="00031B46"/>
    <w:rsid w:val="000320A7"/>
    <w:rsid w:val="000324FB"/>
    <w:rsid w:val="00034B55"/>
    <w:rsid w:val="00035925"/>
    <w:rsid w:val="000378BB"/>
    <w:rsid w:val="0003798D"/>
    <w:rsid w:val="0004007D"/>
    <w:rsid w:val="00040C9D"/>
    <w:rsid w:val="0004271E"/>
    <w:rsid w:val="000434DF"/>
    <w:rsid w:val="000437F2"/>
    <w:rsid w:val="00043809"/>
    <w:rsid w:val="00046688"/>
    <w:rsid w:val="00047C82"/>
    <w:rsid w:val="00050B84"/>
    <w:rsid w:val="00050CDF"/>
    <w:rsid w:val="00050D0E"/>
    <w:rsid w:val="000526B5"/>
    <w:rsid w:val="00060707"/>
    <w:rsid w:val="0006360E"/>
    <w:rsid w:val="000649D7"/>
    <w:rsid w:val="00066326"/>
    <w:rsid w:val="0006746A"/>
    <w:rsid w:val="00067CDF"/>
    <w:rsid w:val="00070F7D"/>
    <w:rsid w:val="000718C2"/>
    <w:rsid w:val="00072274"/>
    <w:rsid w:val="00072960"/>
    <w:rsid w:val="000733FE"/>
    <w:rsid w:val="00073660"/>
    <w:rsid w:val="00074FB6"/>
    <w:rsid w:val="00074FBE"/>
    <w:rsid w:val="00075354"/>
    <w:rsid w:val="00081BE4"/>
    <w:rsid w:val="00081E9C"/>
    <w:rsid w:val="00081F29"/>
    <w:rsid w:val="0008207C"/>
    <w:rsid w:val="00083A09"/>
    <w:rsid w:val="00083C3B"/>
    <w:rsid w:val="00085790"/>
    <w:rsid w:val="00085A38"/>
    <w:rsid w:val="000860AA"/>
    <w:rsid w:val="0009005E"/>
    <w:rsid w:val="00090336"/>
    <w:rsid w:val="00090369"/>
    <w:rsid w:val="00090A4F"/>
    <w:rsid w:val="00090C00"/>
    <w:rsid w:val="00091855"/>
    <w:rsid w:val="00092857"/>
    <w:rsid w:val="0009504C"/>
    <w:rsid w:val="000951D0"/>
    <w:rsid w:val="00096AFB"/>
    <w:rsid w:val="00097C2A"/>
    <w:rsid w:val="000A20A9"/>
    <w:rsid w:val="000A48B1"/>
    <w:rsid w:val="000A51A7"/>
    <w:rsid w:val="000B0F63"/>
    <w:rsid w:val="000B1B73"/>
    <w:rsid w:val="000B1D0E"/>
    <w:rsid w:val="000B2166"/>
    <w:rsid w:val="000B3143"/>
    <w:rsid w:val="000B7540"/>
    <w:rsid w:val="000B790C"/>
    <w:rsid w:val="000B7A01"/>
    <w:rsid w:val="000C242E"/>
    <w:rsid w:val="000C33D2"/>
    <w:rsid w:val="000C37B5"/>
    <w:rsid w:val="000C3B8C"/>
    <w:rsid w:val="000C50FD"/>
    <w:rsid w:val="000C5D25"/>
    <w:rsid w:val="000C6B05"/>
    <w:rsid w:val="000C6DD6"/>
    <w:rsid w:val="000C73D4"/>
    <w:rsid w:val="000D01EB"/>
    <w:rsid w:val="000D17AC"/>
    <w:rsid w:val="000D3C0E"/>
    <w:rsid w:val="000D3D4C"/>
    <w:rsid w:val="000D4F51"/>
    <w:rsid w:val="000D5D9A"/>
    <w:rsid w:val="000D68D6"/>
    <w:rsid w:val="000D718B"/>
    <w:rsid w:val="000D7E46"/>
    <w:rsid w:val="000E0355"/>
    <w:rsid w:val="000E094F"/>
    <w:rsid w:val="000E0C46"/>
    <w:rsid w:val="000E31A4"/>
    <w:rsid w:val="000E37CF"/>
    <w:rsid w:val="000E59AD"/>
    <w:rsid w:val="000E5EF9"/>
    <w:rsid w:val="000E5F38"/>
    <w:rsid w:val="000E7128"/>
    <w:rsid w:val="000F030C"/>
    <w:rsid w:val="000F0D8C"/>
    <w:rsid w:val="000F0E39"/>
    <w:rsid w:val="000F0F9E"/>
    <w:rsid w:val="000F129C"/>
    <w:rsid w:val="000F28A6"/>
    <w:rsid w:val="000F3654"/>
    <w:rsid w:val="000F477B"/>
    <w:rsid w:val="000F5E62"/>
    <w:rsid w:val="000F6402"/>
    <w:rsid w:val="000F653E"/>
    <w:rsid w:val="000F7856"/>
    <w:rsid w:val="000F7A96"/>
    <w:rsid w:val="000F7B91"/>
    <w:rsid w:val="000F7F6F"/>
    <w:rsid w:val="001000F1"/>
    <w:rsid w:val="00101CD6"/>
    <w:rsid w:val="001030E8"/>
    <w:rsid w:val="00103506"/>
    <w:rsid w:val="001035ED"/>
    <w:rsid w:val="0010367C"/>
    <w:rsid w:val="00103B19"/>
    <w:rsid w:val="001056DE"/>
    <w:rsid w:val="00107D02"/>
    <w:rsid w:val="00107D7C"/>
    <w:rsid w:val="0011033C"/>
    <w:rsid w:val="001106FC"/>
    <w:rsid w:val="00110747"/>
    <w:rsid w:val="001124C0"/>
    <w:rsid w:val="001132DA"/>
    <w:rsid w:val="00114E23"/>
    <w:rsid w:val="0011662C"/>
    <w:rsid w:val="00116D78"/>
    <w:rsid w:val="00117DDE"/>
    <w:rsid w:val="00117EEC"/>
    <w:rsid w:val="00117F9E"/>
    <w:rsid w:val="001200A8"/>
    <w:rsid w:val="0012047E"/>
    <w:rsid w:val="00120522"/>
    <w:rsid w:val="00122094"/>
    <w:rsid w:val="0012215A"/>
    <w:rsid w:val="001237DD"/>
    <w:rsid w:val="00123B1A"/>
    <w:rsid w:val="001241AE"/>
    <w:rsid w:val="001244CD"/>
    <w:rsid w:val="0012604E"/>
    <w:rsid w:val="001266BA"/>
    <w:rsid w:val="001277BA"/>
    <w:rsid w:val="00130338"/>
    <w:rsid w:val="00130EDA"/>
    <w:rsid w:val="0013122E"/>
    <w:rsid w:val="0013175F"/>
    <w:rsid w:val="00133BD7"/>
    <w:rsid w:val="0013633A"/>
    <w:rsid w:val="00141457"/>
    <w:rsid w:val="00142980"/>
    <w:rsid w:val="00145449"/>
    <w:rsid w:val="001458CB"/>
    <w:rsid w:val="00146015"/>
    <w:rsid w:val="001512B4"/>
    <w:rsid w:val="001542A7"/>
    <w:rsid w:val="001542B7"/>
    <w:rsid w:val="00154D5E"/>
    <w:rsid w:val="00154DA4"/>
    <w:rsid w:val="00154E4F"/>
    <w:rsid w:val="001552DE"/>
    <w:rsid w:val="001555E4"/>
    <w:rsid w:val="00155C5F"/>
    <w:rsid w:val="00156BBD"/>
    <w:rsid w:val="00161B73"/>
    <w:rsid w:val="001620A5"/>
    <w:rsid w:val="00163758"/>
    <w:rsid w:val="00164E53"/>
    <w:rsid w:val="00165A7D"/>
    <w:rsid w:val="0016699D"/>
    <w:rsid w:val="001702CF"/>
    <w:rsid w:val="001707FA"/>
    <w:rsid w:val="00170CD9"/>
    <w:rsid w:val="00171301"/>
    <w:rsid w:val="00171BBB"/>
    <w:rsid w:val="00172029"/>
    <w:rsid w:val="0017215D"/>
    <w:rsid w:val="00172448"/>
    <w:rsid w:val="00173CB1"/>
    <w:rsid w:val="00175159"/>
    <w:rsid w:val="00176208"/>
    <w:rsid w:val="001775D8"/>
    <w:rsid w:val="00180A49"/>
    <w:rsid w:val="00181222"/>
    <w:rsid w:val="0018211B"/>
    <w:rsid w:val="001828E6"/>
    <w:rsid w:val="001830F3"/>
    <w:rsid w:val="001840D3"/>
    <w:rsid w:val="001842B5"/>
    <w:rsid w:val="001869A2"/>
    <w:rsid w:val="001900F8"/>
    <w:rsid w:val="00190C7B"/>
    <w:rsid w:val="00190E0A"/>
    <w:rsid w:val="0019113C"/>
    <w:rsid w:val="00191258"/>
    <w:rsid w:val="00191916"/>
    <w:rsid w:val="0019241B"/>
    <w:rsid w:val="00192680"/>
    <w:rsid w:val="00193037"/>
    <w:rsid w:val="00193399"/>
    <w:rsid w:val="001937CC"/>
    <w:rsid w:val="00193A2C"/>
    <w:rsid w:val="00193F3F"/>
    <w:rsid w:val="00195D00"/>
    <w:rsid w:val="00195FB0"/>
    <w:rsid w:val="001965DD"/>
    <w:rsid w:val="00196F56"/>
    <w:rsid w:val="001A14AB"/>
    <w:rsid w:val="001A288E"/>
    <w:rsid w:val="001A3127"/>
    <w:rsid w:val="001A38C8"/>
    <w:rsid w:val="001A3D71"/>
    <w:rsid w:val="001A5C1C"/>
    <w:rsid w:val="001A732C"/>
    <w:rsid w:val="001B13B9"/>
    <w:rsid w:val="001B259C"/>
    <w:rsid w:val="001B3528"/>
    <w:rsid w:val="001B3FD9"/>
    <w:rsid w:val="001B4EB5"/>
    <w:rsid w:val="001B6ADD"/>
    <w:rsid w:val="001B6DC2"/>
    <w:rsid w:val="001B79BE"/>
    <w:rsid w:val="001C149C"/>
    <w:rsid w:val="001C21AC"/>
    <w:rsid w:val="001C2276"/>
    <w:rsid w:val="001C3D69"/>
    <w:rsid w:val="001C430C"/>
    <w:rsid w:val="001C47BA"/>
    <w:rsid w:val="001C4BCA"/>
    <w:rsid w:val="001C4E7F"/>
    <w:rsid w:val="001C59EA"/>
    <w:rsid w:val="001C618B"/>
    <w:rsid w:val="001C61D7"/>
    <w:rsid w:val="001C62A2"/>
    <w:rsid w:val="001D0B23"/>
    <w:rsid w:val="001D1E85"/>
    <w:rsid w:val="001D226F"/>
    <w:rsid w:val="001D24DA"/>
    <w:rsid w:val="001D320E"/>
    <w:rsid w:val="001D35EE"/>
    <w:rsid w:val="001D406C"/>
    <w:rsid w:val="001D41EE"/>
    <w:rsid w:val="001D4AC6"/>
    <w:rsid w:val="001D4C65"/>
    <w:rsid w:val="001D6EE7"/>
    <w:rsid w:val="001E0380"/>
    <w:rsid w:val="001E0DC8"/>
    <w:rsid w:val="001E13B1"/>
    <w:rsid w:val="001E4E0D"/>
    <w:rsid w:val="001E4EEA"/>
    <w:rsid w:val="001E5A37"/>
    <w:rsid w:val="001E5CFB"/>
    <w:rsid w:val="001E647C"/>
    <w:rsid w:val="001E65CA"/>
    <w:rsid w:val="001E6865"/>
    <w:rsid w:val="001E731C"/>
    <w:rsid w:val="001F138D"/>
    <w:rsid w:val="001F233C"/>
    <w:rsid w:val="001F2A5C"/>
    <w:rsid w:val="001F2E9D"/>
    <w:rsid w:val="001F30B6"/>
    <w:rsid w:val="001F3689"/>
    <w:rsid w:val="001F3A19"/>
    <w:rsid w:val="001F3D03"/>
    <w:rsid w:val="001F4393"/>
    <w:rsid w:val="001F5C8F"/>
    <w:rsid w:val="001F70D4"/>
    <w:rsid w:val="00200302"/>
    <w:rsid w:val="00200D2F"/>
    <w:rsid w:val="002022DE"/>
    <w:rsid w:val="0020245F"/>
    <w:rsid w:val="002024CE"/>
    <w:rsid w:val="00203614"/>
    <w:rsid w:val="00204344"/>
    <w:rsid w:val="00204901"/>
    <w:rsid w:val="00204AFB"/>
    <w:rsid w:val="0020732B"/>
    <w:rsid w:val="00207F85"/>
    <w:rsid w:val="002108CD"/>
    <w:rsid w:val="00211EBB"/>
    <w:rsid w:val="00213F2A"/>
    <w:rsid w:val="00213FD8"/>
    <w:rsid w:val="00214C8C"/>
    <w:rsid w:val="00214FB8"/>
    <w:rsid w:val="00215038"/>
    <w:rsid w:val="00217614"/>
    <w:rsid w:val="00221909"/>
    <w:rsid w:val="002243E5"/>
    <w:rsid w:val="002251B4"/>
    <w:rsid w:val="002253AD"/>
    <w:rsid w:val="00226270"/>
    <w:rsid w:val="00226A65"/>
    <w:rsid w:val="00226BE6"/>
    <w:rsid w:val="00227307"/>
    <w:rsid w:val="00230B17"/>
    <w:rsid w:val="00232295"/>
    <w:rsid w:val="00234467"/>
    <w:rsid w:val="002359B7"/>
    <w:rsid w:val="002363D2"/>
    <w:rsid w:val="00237D8D"/>
    <w:rsid w:val="002406C1"/>
    <w:rsid w:val="002418D9"/>
    <w:rsid w:val="00241DA2"/>
    <w:rsid w:val="002426EE"/>
    <w:rsid w:val="00244013"/>
    <w:rsid w:val="002456CD"/>
    <w:rsid w:val="0024631C"/>
    <w:rsid w:val="00247F71"/>
    <w:rsid w:val="00247FEE"/>
    <w:rsid w:val="00250E7D"/>
    <w:rsid w:val="00251081"/>
    <w:rsid w:val="0025266C"/>
    <w:rsid w:val="00252C4B"/>
    <w:rsid w:val="00254331"/>
    <w:rsid w:val="002543BC"/>
    <w:rsid w:val="0025509D"/>
    <w:rsid w:val="002557E2"/>
    <w:rsid w:val="00255902"/>
    <w:rsid w:val="002565D5"/>
    <w:rsid w:val="00256DF9"/>
    <w:rsid w:val="00257A86"/>
    <w:rsid w:val="002614E5"/>
    <w:rsid w:val="002615F0"/>
    <w:rsid w:val="002619B5"/>
    <w:rsid w:val="002622C0"/>
    <w:rsid w:val="00262EFE"/>
    <w:rsid w:val="00263CE7"/>
    <w:rsid w:val="00263DEC"/>
    <w:rsid w:val="0026457D"/>
    <w:rsid w:val="00264F0B"/>
    <w:rsid w:val="00266181"/>
    <w:rsid w:val="00270656"/>
    <w:rsid w:val="00270EB9"/>
    <w:rsid w:val="0027273E"/>
    <w:rsid w:val="00272BA6"/>
    <w:rsid w:val="00273C07"/>
    <w:rsid w:val="00273C64"/>
    <w:rsid w:val="0027412F"/>
    <w:rsid w:val="00274530"/>
    <w:rsid w:val="002753DB"/>
    <w:rsid w:val="00275DFE"/>
    <w:rsid w:val="002778AE"/>
    <w:rsid w:val="0028022F"/>
    <w:rsid w:val="0028060D"/>
    <w:rsid w:val="002810EF"/>
    <w:rsid w:val="00281BC8"/>
    <w:rsid w:val="0028269A"/>
    <w:rsid w:val="002826A6"/>
    <w:rsid w:val="00283467"/>
    <w:rsid w:val="00283590"/>
    <w:rsid w:val="00283EEE"/>
    <w:rsid w:val="002845A6"/>
    <w:rsid w:val="00284A82"/>
    <w:rsid w:val="0028544B"/>
    <w:rsid w:val="00286973"/>
    <w:rsid w:val="00287D04"/>
    <w:rsid w:val="00292DAD"/>
    <w:rsid w:val="00293A01"/>
    <w:rsid w:val="002942E8"/>
    <w:rsid w:val="0029458C"/>
    <w:rsid w:val="00294CC3"/>
    <w:rsid w:val="00294E70"/>
    <w:rsid w:val="002A12C2"/>
    <w:rsid w:val="002A1924"/>
    <w:rsid w:val="002A3B97"/>
    <w:rsid w:val="002A46AB"/>
    <w:rsid w:val="002A5367"/>
    <w:rsid w:val="002A5849"/>
    <w:rsid w:val="002A66F8"/>
    <w:rsid w:val="002A6838"/>
    <w:rsid w:val="002A7420"/>
    <w:rsid w:val="002A780E"/>
    <w:rsid w:val="002A7C05"/>
    <w:rsid w:val="002B0E29"/>
    <w:rsid w:val="002B0F12"/>
    <w:rsid w:val="002B1308"/>
    <w:rsid w:val="002B1935"/>
    <w:rsid w:val="002B3720"/>
    <w:rsid w:val="002B4554"/>
    <w:rsid w:val="002B57CB"/>
    <w:rsid w:val="002B58EA"/>
    <w:rsid w:val="002B7270"/>
    <w:rsid w:val="002B76AB"/>
    <w:rsid w:val="002B78E3"/>
    <w:rsid w:val="002C452F"/>
    <w:rsid w:val="002C4AA3"/>
    <w:rsid w:val="002C7238"/>
    <w:rsid w:val="002C72D8"/>
    <w:rsid w:val="002D0FFA"/>
    <w:rsid w:val="002D11FA"/>
    <w:rsid w:val="002D2612"/>
    <w:rsid w:val="002D2A11"/>
    <w:rsid w:val="002D2C55"/>
    <w:rsid w:val="002D410F"/>
    <w:rsid w:val="002D472B"/>
    <w:rsid w:val="002D4D75"/>
    <w:rsid w:val="002D575C"/>
    <w:rsid w:val="002D75BC"/>
    <w:rsid w:val="002E0DDF"/>
    <w:rsid w:val="002E1599"/>
    <w:rsid w:val="002E1A3E"/>
    <w:rsid w:val="002E1F3A"/>
    <w:rsid w:val="002E2906"/>
    <w:rsid w:val="002E2BA1"/>
    <w:rsid w:val="002E5635"/>
    <w:rsid w:val="002E620E"/>
    <w:rsid w:val="002E64C3"/>
    <w:rsid w:val="002E6A2C"/>
    <w:rsid w:val="002E6A98"/>
    <w:rsid w:val="002E6D4F"/>
    <w:rsid w:val="002F035A"/>
    <w:rsid w:val="002F11C0"/>
    <w:rsid w:val="002F1A5C"/>
    <w:rsid w:val="002F1D8C"/>
    <w:rsid w:val="002F2108"/>
    <w:rsid w:val="002F21DA"/>
    <w:rsid w:val="002F6E0C"/>
    <w:rsid w:val="002F6E44"/>
    <w:rsid w:val="002F7A4E"/>
    <w:rsid w:val="003007D0"/>
    <w:rsid w:val="00301F39"/>
    <w:rsid w:val="0030405C"/>
    <w:rsid w:val="003059E4"/>
    <w:rsid w:val="00305D11"/>
    <w:rsid w:val="00306DC3"/>
    <w:rsid w:val="003074F2"/>
    <w:rsid w:val="003108BE"/>
    <w:rsid w:val="00311502"/>
    <w:rsid w:val="0031179D"/>
    <w:rsid w:val="0031316B"/>
    <w:rsid w:val="003148B4"/>
    <w:rsid w:val="00315385"/>
    <w:rsid w:val="003156FE"/>
    <w:rsid w:val="003165BA"/>
    <w:rsid w:val="00316A07"/>
    <w:rsid w:val="003170D7"/>
    <w:rsid w:val="00317689"/>
    <w:rsid w:val="0032083F"/>
    <w:rsid w:val="00321078"/>
    <w:rsid w:val="00323DE0"/>
    <w:rsid w:val="00324928"/>
    <w:rsid w:val="00325222"/>
    <w:rsid w:val="00325926"/>
    <w:rsid w:val="00327A8A"/>
    <w:rsid w:val="003334AA"/>
    <w:rsid w:val="0033353F"/>
    <w:rsid w:val="003345C1"/>
    <w:rsid w:val="00335127"/>
    <w:rsid w:val="0033578C"/>
    <w:rsid w:val="00335B28"/>
    <w:rsid w:val="00336610"/>
    <w:rsid w:val="0033713C"/>
    <w:rsid w:val="003400DC"/>
    <w:rsid w:val="0034049A"/>
    <w:rsid w:val="003428B9"/>
    <w:rsid w:val="0034314B"/>
    <w:rsid w:val="00343F73"/>
    <w:rsid w:val="003447DF"/>
    <w:rsid w:val="00345060"/>
    <w:rsid w:val="003455DF"/>
    <w:rsid w:val="0034583A"/>
    <w:rsid w:val="00345EBB"/>
    <w:rsid w:val="00347108"/>
    <w:rsid w:val="00347A8F"/>
    <w:rsid w:val="00350483"/>
    <w:rsid w:val="003513D1"/>
    <w:rsid w:val="003527FB"/>
    <w:rsid w:val="0035323B"/>
    <w:rsid w:val="00356E71"/>
    <w:rsid w:val="00360618"/>
    <w:rsid w:val="003609D2"/>
    <w:rsid w:val="003615B6"/>
    <w:rsid w:val="00363F22"/>
    <w:rsid w:val="00366790"/>
    <w:rsid w:val="003668EA"/>
    <w:rsid w:val="003673C3"/>
    <w:rsid w:val="00371982"/>
    <w:rsid w:val="0037277E"/>
    <w:rsid w:val="00373642"/>
    <w:rsid w:val="0037495A"/>
    <w:rsid w:val="00374BB0"/>
    <w:rsid w:val="00375564"/>
    <w:rsid w:val="00375B07"/>
    <w:rsid w:val="00377D93"/>
    <w:rsid w:val="003815C9"/>
    <w:rsid w:val="00382112"/>
    <w:rsid w:val="00382472"/>
    <w:rsid w:val="00383191"/>
    <w:rsid w:val="00384530"/>
    <w:rsid w:val="00385485"/>
    <w:rsid w:val="00386B64"/>
    <w:rsid w:val="00386DED"/>
    <w:rsid w:val="003871E4"/>
    <w:rsid w:val="003907F3"/>
    <w:rsid w:val="0039091B"/>
    <w:rsid w:val="003912E7"/>
    <w:rsid w:val="00391464"/>
    <w:rsid w:val="00391529"/>
    <w:rsid w:val="0039207F"/>
    <w:rsid w:val="00393947"/>
    <w:rsid w:val="00393C73"/>
    <w:rsid w:val="00396D8A"/>
    <w:rsid w:val="0039777C"/>
    <w:rsid w:val="00397913"/>
    <w:rsid w:val="003A0354"/>
    <w:rsid w:val="003A0BCD"/>
    <w:rsid w:val="003A2275"/>
    <w:rsid w:val="003A38F5"/>
    <w:rsid w:val="003A3B90"/>
    <w:rsid w:val="003A3EF5"/>
    <w:rsid w:val="003A3F50"/>
    <w:rsid w:val="003A4A85"/>
    <w:rsid w:val="003A6A4F"/>
    <w:rsid w:val="003A7088"/>
    <w:rsid w:val="003B00DF"/>
    <w:rsid w:val="003B0F1B"/>
    <w:rsid w:val="003B1275"/>
    <w:rsid w:val="003B1778"/>
    <w:rsid w:val="003B2F5B"/>
    <w:rsid w:val="003B372A"/>
    <w:rsid w:val="003B52EA"/>
    <w:rsid w:val="003B5678"/>
    <w:rsid w:val="003B7242"/>
    <w:rsid w:val="003C11CB"/>
    <w:rsid w:val="003C1528"/>
    <w:rsid w:val="003C188F"/>
    <w:rsid w:val="003C5233"/>
    <w:rsid w:val="003C5716"/>
    <w:rsid w:val="003C57BF"/>
    <w:rsid w:val="003C5B62"/>
    <w:rsid w:val="003C75F3"/>
    <w:rsid w:val="003C78A3"/>
    <w:rsid w:val="003D1B0F"/>
    <w:rsid w:val="003D1BEE"/>
    <w:rsid w:val="003D2326"/>
    <w:rsid w:val="003D3DD1"/>
    <w:rsid w:val="003D54C6"/>
    <w:rsid w:val="003D5661"/>
    <w:rsid w:val="003D6785"/>
    <w:rsid w:val="003E01BB"/>
    <w:rsid w:val="003E12BE"/>
    <w:rsid w:val="003E1867"/>
    <w:rsid w:val="003E1BC8"/>
    <w:rsid w:val="003E1CDE"/>
    <w:rsid w:val="003E5729"/>
    <w:rsid w:val="003E7124"/>
    <w:rsid w:val="003E721A"/>
    <w:rsid w:val="003F3106"/>
    <w:rsid w:val="003F4EE0"/>
    <w:rsid w:val="00402153"/>
    <w:rsid w:val="00402FC1"/>
    <w:rsid w:val="00403BA9"/>
    <w:rsid w:val="004059DB"/>
    <w:rsid w:val="00407D2A"/>
    <w:rsid w:val="00410B5B"/>
    <w:rsid w:val="0041125A"/>
    <w:rsid w:val="004117E2"/>
    <w:rsid w:val="00411C96"/>
    <w:rsid w:val="00414C9C"/>
    <w:rsid w:val="00415DAC"/>
    <w:rsid w:val="00416289"/>
    <w:rsid w:val="00416787"/>
    <w:rsid w:val="00416806"/>
    <w:rsid w:val="00416AF9"/>
    <w:rsid w:val="00417902"/>
    <w:rsid w:val="00420BB5"/>
    <w:rsid w:val="00420D84"/>
    <w:rsid w:val="0042171C"/>
    <w:rsid w:val="00421CC9"/>
    <w:rsid w:val="00424995"/>
    <w:rsid w:val="00425082"/>
    <w:rsid w:val="0042721D"/>
    <w:rsid w:val="00430964"/>
    <w:rsid w:val="004314DE"/>
    <w:rsid w:val="00431DEB"/>
    <w:rsid w:val="004322E2"/>
    <w:rsid w:val="00433189"/>
    <w:rsid w:val="00434DAA"/>
    <w:rsid w:val="004407EE"/>
    <w:rsid w:val="0044126E"/>
    <w:rsid w:val="00441AC0"/>
    <w:rsid w:val="00443715"/>
    <w:rsid w:val="00444B9C"/>
    <w:rsid w:val="00446B29"/>
    <w:rsid w:val="00447487"/>
    <w:rsid w:val="004501CD"/>
    <w:rsid w:val="0045153E"/>
    <w:rsid w:val="00453418"/>
    <w:rsid w:val="00453F9A"/>
    <w:rsid w:val="00455057"/>
    <w:rsid w:val="0045560A"/>
    <w:rsid w:val="0046125D"/>
    <w:rsid w:val="00462FA4"/>
    <w:rsid w:val="00471E91"/>
    <w:rsid w:val="00473FFB"/>
    <w:rsid w:val="00474468"/>
    <w:rsid w:val="00474675"/>
    <w:rsid w:val="0047470C"/>
    <w:rsid w:val="00475BD8"/>
    <w:rsid w:val="0047756B"/>
    <w:rsid w:val="004777B1"/>
    <w:rsid w:val="00477DF2"/>
    <w:rsid w:val="0048083D"/>
    <w:rsid w:val="00480EF6"/>
    <w:rsid w:val="00481504"/>
    <w:rsid w:val="00481C4C"/>
    <w:rsid w:val="00481E39"/>
    <w:rsid w:val="004831A3"/>
    <w:rsid w:val="00483EE3"/>
    <w:rsid w:val="00484E47"/>
    <w:rsid w:val="00485E1B"/>
    <w:rsid w:val="0048635A"/>
    <w:rsid w:val="0048676B"/>
    <w:rsid w:val="00487A0E"/>
    <w:rsid w:val="004906C7"/>
    <w:rsid w:val="00490CF6"/>
    <w:rsid w:val="004926B3"/>
    <w:rsid w:val="004938A9"/>
    <w:rsid w:val="00493FDE"/>
    <w:rsid w:val="00494513"/>
    <w:rsid w:val="00496989"/>
    <w:rsid w:val="004974DA"/>
    <w:rsid w:val="00497902"/>
    <w:rsid w:val="004A1749"/>
    <w:rsid w:val="004A35F9"/>
    <w:rsid w:val="004A41EE"/>
    <w:rsid w:val="004A73B1"/>
    <w:rsid w:val="004B0C3A"/>
    <w:rsid w:val="004B24C1"/>
    <w:rsid w:val="004B24CD"/>
    <w:rsid w:val="004B3485"/>
    <w:rsid w:val="004B4240"/>
    <w:rsid w:val="004C1176"/>
    <w:rsid w:val="004C11B9"/>
    <w:rsid w:val="004C132A"/>
    <w:rsid w:val="004C1A04"/>
    <w:rsid w:val="004C1CF9"/>
    <w:rsid w:val="004C1E31"/>
    <w:rsid w:val="004C28D7"/>
    <w:rsid w:val="004C292F"/>
    <w:rsid w:val="004C3087"/>
    <w:rsid w:val="004C4322"/>
    <w:rsid w:val="004C5D97"/>
    <w:rsid w:val="004C5EF6"/>
    <w:rsid w:val="004C6091"/>
    <w:rsid w:val="004C620D"/>
    <w:rsid w:val="004C6FF9"/>
    <w:rsid w:val="004C7143"/>
    <w:rsid w:val="004C7869"/>
    <w:rsid w:val="004C7E16"/>
    <w:rsid w:val="004D11A1"/>
    <w:rsid w:val="004D2388"/>
    <w:rsid w:val="004D32FD"/>
    <w:rsid w:val="004D43FA"/>
    <w:rsid w:val="004D5972"/>
    <w:rsid w:val="004D5F20"/>
    <w:rsid w:val="004D6AB9"/>
    <w:rsid w:val="004D6E55"/>
    <w:rsid w:val="004E00B2"/>
    <w:rsid w:val="004E179D"/>
    <w:rsid w:val="004E3EBD"/>
    <w:rsid w:val="004E6833"/>
    <w:rsid w:val="004E6B13"/>
    <w:rsid w:val="004F0CA6"/>
    <w:rsid w:val="004F2DC1"/>
    <w:rsid w:val="004F4A42"/>
    <w:rsid w:val="004F5325"/>
    <w:rsid w:val="004F5F57"/>
    <w:rsid w:val="004F6520"/>
    <w:rsid w:val="00500470"/>
    <w:rsid w:val="00500FF2"/>
    <w:rsid w:val="0050497B"/>
    <w:rsid w:val="00504D46"/>
    <w:rsid w:val="00507A71"/>
    <w:rsid w:val="00510280"/>
    <w:rsid w:val="00510C3C"/>
    <w:rsid w:val="00511894"/>
    <w:rsid w:val="00511D71"/>
    <w:rsid w:val="00512A4A"/>
    <w:rsid w:val="00513B42"/>
    <w:rsid w:val="00513D73"/>
    <w:rsid w:val="00514A43"/>
    <w:rsid w:val="00516431"/>
    <w:rsid w:val="005174E5"/>
    <w:rsid w:val="0052007A"/>
    <w:rsid w:val="00522393"/>
    <w:rsid w:val="00522620"/>
    <w:rsid w:val="00523260"/>
    <w:rsid w:val="00523C87"/>
    <w:rsid w:val="00523E64"/>
    <w:rsid w:val="005242AE"/>
    <w:rsid w:val="00525656"/>
    <w:rsid w:val="00525A58"/>
    <w:rsid w:val="00525E24"/>
    <w:rsid w:val="00531EA8"/>
    <w:rsid w:val="00533BC6"/>
    <w:rsid w:val="00534C02"/>
    <w:rsid w:val="00534C2D"/>
    <w:rsid w:val="00534FD8"/>
    <w:rsid w:val="00536538"/>
    <w:rsid w:val="00542574"/>
    <w:rsid w:val="0054264B"/>
    <w:rsid w:val="005428C1"/>
    <w:rsid w:val="00543786"/>
    <w:rsid w:val="005455C8"/>
    <w:rsid w:val="00545FB4"/>
    <w:rsid w:val="005520E5"/>
    <w:rsid w:val="005529D8"/>
    <w:rsid w:val="005533D7"/>
    <w:rsid w:val="005539D9"/>
    <w:rsid w:val="00553F4C"/>
    <w:rsid w:val="00554E42"/>
    <w:rsid w:val="00555542"/>
    <w:rsid w:val="00555616"/>
    <w:rsid w:val="005561E6"/>
    <w:rsid w:val="0055760D"/>
    <w:rsid w:val="00557C0A"/>
    <w:rsid w:val="00560671"/>
    <w:rsid w:val="00563C93"/>
    <w:rsid w:val="00564206"/>
    <w:rsid w:val="00564FD4"/>
    <w:rsid w:val="00565539"/>
    <w:rsid w:val="00565B7E"/>
    <w:rsid w:val="00566178"/>
    <w:rsid w:val="00566186"/>
    <w:rsid w:val="005703DE"/>
    <w:rsid w:val="00570580"/>
    <w:rsid w:val="0057080B"/>
    <w:rsid w:val="00573320"/>
    <w:rsid w:val="0057449F"/>
    <w:rsid w:val="00575474"/>
    <w:rsid w:val="00575B7B"/>
    <w:rsid w:val="00575C8E"/>
    <w:rsid w:val="005801E5"/>
    <w:rsid w:val="00580342"/>
    <w:rsid w:val="00582704"/>
    <w:rsid w:val="00584362"/>
    <w:rsid w:val="0058464E"/>
    <w:rsid w:val="005867A0"/>
    <w:rsid w:val="00587142"/>
    <w:rsid w:val="00587393"/>
    <w:rsid w:val="00587E89"/>
    <w:rsid w:val="005906E2"/>
    <w:rsid w:val="00590C6B"/>
    <w:rsid w:val="00592DE5"/>
    <w:rsid w:val="00594D0B"/>
    <w:rsid w:val="0059649D"/>
    <w:rsid w:val="00596B7E"/>
    <w:rsid w:val="00596E92"/>
    <w:rsid w:val="005A01CB"/>
    <w:rsid w:val="005A0BF4"/>
    <w:rsid w:val="005A3364"/>
    <w:rsid w:val="005A58FF"/>
    <w:rsid w:val="005A5EAF"/>
    <w:rsid w:val="005A64C0"/>
    <w:rsid w:val="005A7292"/>
    <w:rsid w:val="005A7B3E"/>
    <w:rsid w:val="005A7C5A"/>
    <w:rsid w:val="005B0C00"/>
    <w:rsid w:val="005B0FDF"/>
    <w:rsid w:val="005B15B6"/>
    <w:rsid w:val="005B1E6C"/>
    <w:rsid w:val="005B3C11"/>
    <w:rsid w:val="005B4C78"/>
    <w:rsid w:val="005C0EC5"/>
    <w:rsid w:val="005C1BA7"/>
    <w:rsid w:val="005C1C28"/>
    <w:rsid w:val="005C274E"/>
    <w:rsid w:val="005C27E9"/>
    <w:rsid w:val="005C6178"/>
    <w:rsid w:val="005C6DB5"/>
    <w:rsid w:val="005D0114"/>
    <w:rsid w:val="005D0115"/>
    <w:rsid w:val="005D1C43"/>
    <w:rsid w:val="005D3B24"/>
    <w:rsid w:val="005D7C9C"/>
    <w:rsid w:val="005E007C"/>
    <w:rsid w:val="005E06DD"/>
    <w:rsid w:val="005E19E7"/>
    <w:rsid w:val="005E2797"/>
    <w:rsid w:val="005E6829"/>
    <w:rsid w:val="005F0836"/>
    <w:rsid w:val="005F09F7"/>
    <w:rsid w:val="005F13CE"/>
    <w:rsid w:val="005F185C"/>
    <w:rsid w:val="005F24CD"/>
    <w:rsid w:val="005F4757"/>
    <w:rsid w:val="005F4982"/>
    <w:rsid w:val="005F5172"/>
    <w:rsid w:val="005F7A35"/>
    <w:rsid w:val="005F7CA0"/>
    <w:rsid w:val="00600CB1"/>
    <w:rsid w:val="00602170"/>
    <w:rsid w:val="006024D9"/>
    <w:rsid w:val="00603C23"/>
    <w:rsid w:val="00604DE4"/>
    <w:rsid w:val="0060595B"/>
    <w:rsid w:val="00606DC9"/>
    <w:rsid w:val="006077DD"/>
    <w:rsid w:val="00611A2C"/>
    <w:rsid w:val="006127FD"/>
    <w:rsid w:val="006143CE"/>
    <w:rsid w:val="0061708A"/>
    <w:rsid w:val="0061716C"/>
    <w:rsid w:val="00617CA6"/>
    <w:rsid w:val="0062166F"/>
    <w:rsid w:val="00622E03"/>
    <w:rsid w:val="00623EB2"/>
    <w:rsid w:val="00624035"/>
    <w:rsid w:val="006243A1"/>
    <w:rsid w:val="00624507"/>
    <w:rsid w:val="00625B53"/>
    <w:rsid w:val="006275A5"/>
    <w:rsid w:val="00627BDA"/>
    <w:rsid w:val="00631161"/>
    <w:rsid w:val="00631527"/>
    <w:rsid w:val="006324D9"/>
    <w:rsid w:val="006326FC"/>
    <w:rsid w:val="00632E56"/>
    <w:rsid w:val="006330ED"/>
    <w:rsid w:val="00635CBA"/>
    <w:rsid w:val="00635E13"/>
    <w:rsid w:val="00636331"/>
    <w:rsid w:val="00636899"/>
    <w:rsid w:val="006375DB"/>
    <w:rsid w:val="00641FA2"/>
    <w:rsid w:val="00642099"/>
    <w:rsid w:val="00642F11"/>
    <w:rsid w:val="00642FCB"/>
    <w:rsid w:val="0064325C"/>
    <w:rsid w:val="0064338B"/>
    <w:rsid w:val="00643842"/>
    <w:rsid w:val="00644131"/>
    <w:rsid w:val="00644AA6"/>
    <w:rsid w:val="006462DC"/>
    <w:rsid w:val="00646542"/>
    <w:rsid w:val="0064667C"/>
    <w:rsid w:val="00646E53"/>
    <w:rsid w:val="00647069"/>
    <w:rsid w:val="00647824"/>
    <w:rsid w:val="006504F4"/>
    <w:rsid w:val="00650D6D"/>
    <w:rsid w:val="00652847"/>
    <w:rsid w:val="00653758"/>
    <w:rsid w:val="00654BC9"/>
    <w:rsid w:val="006552FD"/>
    <w:rsid w:val="00655D6D"/>
    <w:rsid w:val="00656BAD"/>
    <w:rsid w:val="00657252"/>
    <w:rsid w:val="006615DB"/>
    <w:rsid w:val="006638C4"/>
    <w:rsid w:val="00663AF3"/>
    <w:rsid w:val="00666B6C"/>
    <w:rsid w:val="0067020F"/>
    <w:rsid w:val="006705DC"/>
    <w:rsid w:val="0067105F"/>
    <w:rsid w:val="00672A56"/>
    <w:rsid w:val="00673CF7"/>
    <w:rsid w:val="0067481C"/>
    <w:rsid w:val="006774BE"/>
    <w:rsid w:val="0068043A"/>
    <w:rsid w:val="00681124"/>
    <w:rsid w:val="00681968"/>
    <w:rsid w:val="00682682"/>
    <w:rsid w:val="00682702"/>
    <w:rsid w:val="006846EB"/>
    <w:rsid w:val="00687DC6"/>
    <w:rsid w:val="006906B3"/>
    <w:rsid w:val="00690DA7"/>
    <w:rsid w:val="00692368"/>
    <w:rsid w:val="006930B4"/>
    <w:rsid w:val="006957A3"/>
    <w:rsid w:val="006958FB"/>
    <w:rsid w:val="00696866"/>
    <w:rsid w:val="006A2EBC"/>
    <w:rsid w:val="006A48E5"/>
    <w:rsid w:val="006A5B05"/>
    <w:rsid w:val="006A5EA0"/>
    <w:rsid w:val="006A783B"/>
    <w:rsid w:val="006A7B33"/>
    <w:rsid w:val="006A7F31"/>
    <w:rsid w:val="006A7FB4"/>
    <w:rsid w:val="006B0C95"/>
    <w:rsid w:val="006B2DBB"/>
    <w:rsid w:val="006B3BB0"/>
    <w:rsid w:val="006B430F"/>
    <w:rsid w:val="006B4AA3"/>
    <w:rsid w:val="006B4AFB"/>
    <w:rsid w:val="006B4E13"/>
    <w:rsid w:val="006B60B8"/>
    <w:rsid w:val="006B6638"/>
    <w:rsid w:val="006B75DD"/>
    <w:rsid w:val="006C069D"/>
    <w:rsid w:val="006C1D6E"/>
    <w:rsid w:val="006C231E"/>
    <w:rsid w:val="006C5C80"/>
    <w:rsid w:val="006C67E0"/>
    <w:rsid w:val="006C70E6"/>
    <w:rsid w:val="006C7524"/>
    <w:rsid w:val="006C7ABA"/>
    <w:rsid w:val="006D02A4"/>
    <w:rsid w:val="006D0D60"/>
    <w:rsid w:val="006D1079"/>
    <w:rsid w:val="006D1122"/>
    <w:rsid w:val="006D1566"/>
    <w:rsid w:val="006D3C00"/>
    <w:rsid w:val="006D51CB"/>
    <w:rsid w:val="006D560B"/>
    <w:rsid w:val="006D6873"/>
    <w:rsid w:val="006E1A43"/>
    <w:rsid w:val="006E2978"/>
    <w:rsid w:val="006E3675"/>
    <w:rsid w:val="006E3D0A"/>
    <w:rsid w:val="006E4049"/>
    <w:rsid w:val="006E4A7F"/>
    <w:rsid w:val="006F1BA8"/>
    <w:rsid w:val="006F1BAA"/>
    <w:rsid w:val="006F1F57"/>
    <w:rsid w:val="006F2422"/>
    <w:rsid w:val="006F4885"/>
    <w:rsid w:val="006F49AF"/>
    <w:rsid w:val="006F516E"/>
    <w:rsid w:val="006F5318"/>
    <w:rsid w:val="006F602B"/>
    <w:rsid w:val="00700E17"/>
    <w:rsid w:val="007037DD"/>
    <w:rsid w:val="00703BC8"/>
    <w:rsid w:val="007046DC"/>
    <w:rsid w:val="00704DF6"/>
    <w:rsid w:val="00704E70"/>
    <w:rsid w:val="00704F4E"/>
    <w:rsid w:val="0070591E"/>
    <w:rsid w:val="0070651C"/>
    <w:rsid w:val="0071059E"/>
    <w:rsid w:val="007105E2"/>
    <w:rsid w:val="00713168"/>
    <w:rsid w:val="007132A3"/>
    <w:rsid w:val="00714C41"/>
    <w:rsid w:val="00714D2D"/>
    <w:rsid w:val="0071616E"/>
    <w:rsid w:val="00716421"/>
    <w:rsid w:val="00720C22"/>
    <w:rsid w:val="00722DCE"/>
    <w:rsid w:val="00724EFB"/>
    <w:rsid w:val="00725346"/>
    <w:rsid w:val="0073271A"/>
    <w:rsid w:val="00732DAA"/>
    <w:rsid w:val="00732DB0"/>
    <w:rsid w:val="00733789"/>
    <w:rsid w:val="007362D6"/>
    <w:rsid w:val="007367E9"/>
    <w:rsid w:val="0074053A"/>
    <w:rsid w:val="0074080D"/>
    <w:rsid w:val="00740DB0"/>
    <w:rsid w:val="007419C3"/>
    <w:rsid w:val="00742E69"/>
    <w:rsid w:val="007435D9"/>
    <w:rsid w:val="00743D02"/>
    <w:rsid w:val="007446D9"/>
    <w:rsid w:val="0074547F"/>
    <w:rsid w:val="007467A7"/>
    <w:rsid w:val="007469DD"/>
    <w:rsid w:val="0074741B"/>
    <w:rsid w:val="0074759E"/>
    <w:rsid w:val="00747749"/>
    <w:rsid w:val="007478EA"/>
    <w:rsid w:val="00750452"/>
    <w:rsid w:val="007540C9"/>
    <w:rsid w:val="0075415C"/>
    <w:rsid w:val="00754926"/>
    <w:rsid w:val="00755B1B"/>
    <w:rsid w:val="00757DE5"/>
    <w:rsid w:val="00760541"/>
    <w:rsid w:val="00763502"/>
    <w:rsid w:val="00765554"/>
    <w:rsid w:val="0076601A"/>
    <w:rsid w:val="007702EA"/>
    <w:rsid w:val="007703B8"/>
    <w:rsid w:val="00771497"/>
    <w:rsid w:val="00771BA5"/>
    <w:rsid w:val="0077230B"/>
    <w:rsid w:val="00772F51"/>
    <w:rsid w:val="007733F5"/>
    <w:rsid w:val="00775F73"/>
    <w:rsid w:val="0078066E"/>
    <w:rsid w:val="0078103C"/>
    <w:rsid w:val="0078110C"/>
    <w:rsid w:val="007821D3"/>
    <w:rsid w:val="00783E5E"/>
    <w:rsid w:val="007843F1"/>
    <w:rsid w:val="0078580B"/>
    <w:rsid w:val="00787102"/>
    <w:rsid w:val="00787C25"/>
    <w:rsid w:val="00787FD0"/>
    <w:rsid w:val="007913AB"/>
    <w:rsid w:val="007914F7"/>
    <w:rsid w:val="00791B17"/>
    <w:rsid w:val="007922B9"/>
    <w:rsid w:val="007949C8"/>
    <w:rsid w:val="00794CED"/>
    <w:rsid w:val="00794FB2"/>
    <w:rsid w:val="007956EB"/>
    <w:rsid w:val="00797F53"/>
    <w:rsid w:val="007A1E87"/>
    <w:rsid w:val="007A2DBB"/>
    <w:rsid w:val="007A47CE"/>
    <w:rsid w:val="007A4821"/>
    <w:rsid w:val="007A4DDC"/>
    <w:rsid w:val="007B0318"/>
    <w:rsid w:val="007B0FF0"/>
    <w:rsid w:val="007B1625"/>
    <w:rsid w:val="007B402B"/>
    <w:rsid w:val="007B5849"/>
    <w:rsid w:val="007B6779"/>
    <w:rsid w:val="007B706E"/>
    <w:rsid w:val="007B71EB"/>
    <w:rsid w:val="007B780B"/>
    <w:rsid w:val="007C01A3"/>
    <w:rsid w:val="007C0AD5"/>
    <w:rsid w:val="007C46E7"/>
    <w:rsid w:val="007C4929"/>
    <w:rsid w:val="007C54FF"/>
    <w:rsid w:val="007C6205"/>
    <w:rsid w:val="007C686A"/>
    <w:rsid w:val="007C728E"/>
    <w:rsid w:val="007D2AEB"/>
    <w:rsid w:val="007D2C53"/>
    <w:rsid w:val="007D3236"/>
    <w:rsid w:val="007D3D60"/>
    <w:rsid w:val="007D54E4"/>
    <w:rsid w:val="007E1980"/>
    <w:rsid w:val="007E24CA"/>
    <w:rsid w:val="007E267B"/>
    <w:rsid w:val="007E2DB2"/>
    <w:rsid w:val="007E31BF"/>
    <w:rsid w:val="007E3CC1"/>
    <w:rsid w:val="007E4B76"/>
    <w:rsid w:val="007E4BB6"/>
    <w:rsid w:val="007E5BC0"/>
    <w:rsid w:val="007E5EA8"/>
    <w:rsid w:val="007E6151"/>
    <w:rsid w:val="007E6568"/>
    <w:rsid w:val="007E6DF5"/>
    <w:rsid w:val="007F0156"/>
    <w:rsid w:val="007F07E9"/>
    <w:rsid w:val="007F0CF1"/>
    <w:rsid w:val="007F107E"/>
    <w:rsid w:val="007F12A5"/>
    <w:rsid w:val="007F1ED5"/>
    <w:rsid w:val="007F34CE"/>
    <w:rsid w:val="007F34F8"/>
    <w:rsid w:val="007F44DA"/>
    <w:rsid w:val="007F4CF1"/>
    <w:rsid w:val="007F5578"/>
    <w:rsid w:val="007F604A"/>
    <w:rsid w:val="007F6228"/>
    <w:rsid w:val="007F758D"/>
    <w:rsid w:val="007F7D52"/>
    <w:rsid w:val="007F7FC7"/>
    <w:rsid w:val="008018C5"/>
    <w:rsid w:val="00802F4D"/>
    <w:rsid w:val="0080365B"/>
    <w:rsid w:val="0080654C"/>
    <w:rsid w:val="00806F5F"/>
    <w:rsid w:val="008071C6"/>
    <w:rsid w:val="00807E45"/>
    <w:rsid w:val="00810756"/>
    <w:rsid w:val="00810F23"/>
    <w:rsid w:val="00810F65"/>
    <w:rsid w:val="00811162"/>
    <w:rsid w:val="008113CD"/>
    <w:rsid w:val="00812493"/>
    <w:rsid w:val="00812787"/>
    <w:rsid w:val="00817A00"/>
    <w:rsid w:val="00823B79"/>
    <w:rsid w:val="00826015"/>
    <w:rsid w:val="00826317"/>
    <w:rsid w:val="00826FC2"/>
    <w:rsid w:val="008275DF"/>
    <w:rsid w:val="00830E4A"/>
    <w:rsid w:val="00835DB3"/>
    <w:rsid w:val="0083617B"/>
    <w:rsid w:val="00836A13"/>
    <w:rsid w:val="00836D35"/>
    <w:rsid w:val="008371BD"/>
    <w:rsid w:val="0084107D"/>
    <w:rsid w:val="00841A92"/>
    <w:rsid w:val="00843F9C"/>
    <w:rsid w:val="00845025"/>
    <w:rsid w:val="00847925"/>
    <w:rsid w:val="00847AA3"/>
    <w:rsid w:val="008504A8"/>
    <w:rsid w:val="0085282E"/>
    <w:rsid w:val="008534B8"/>
    <w:rsid w:val="00853838"/>
    <w:rsid w:val="0085429C"/>
    <w:rsid w:val="00855A25"/>
    <w:rsid w:val="00860013"/>
    <w:rsid w:val="008618A0"/>
    <w:rsid w:val="00861E9A"/>
    <w:rsid w:val="00862AB4"/>
    <w:rsid w:val="00863B8B"/>
    <w:rsid w:val="00864144"/>
    <w:rsid w:val="0086446D"/>
    <w:rsid w:val="00865339"/>
    <w:rsid w:val="00865E49"/>
    <w:rsid w:val="0086669C"/>
    <w:rsid w:val="00866916"/>
    <w:rsid w:val="00867462"/>
    <w:rsid w:val="008700DA"/>
    <w:rsid w:val="0087198C"/>
    <w:rsid w:val="00872C1F"/>
    <w:rsid w:val="00872D88"/>
    <w:rsid w:val="00873B42"/>
    <w:rsid w:val="00873FD2"/>
    <w:rsid w:val="0087464E"/>
    <w:rsid w:val="008750A4"/>
    <w:rsid w:val="00876F3C"/>
    <w:rsid w:val="00883770"/>
    <w:rsid w:val="008838CB"/>
    <w:rsid w:val="0088528D"/>
    <w:rsid w:val="008856D8"/>
    <w:rsid w:val="008856E5"/>
    <w:rsid w:val="00886875"/>
    <w:rsid w:val="00887088"/>
    <w:rsid w:val="00887F41"/>
    <w:rsid w:val="00890098"/>
    <w:rsid w:val="00890212"/>
    <w:rsid w:val="00892296"/>
    <w:rsid w:val="008926F8"/>
    <w:rsid w:val="00892E82"/>
    <w:rsid w:val="00895BF5"/>
    <w:rsid w:val="00895EBB"/>
    <w:rsid w:val="00895FFC"/>
    <w:rsid w:val="00897922"/>
    <w:rsid w:val="008A03ED"/>
    <w:rsid w:val="008A05E0"/>
    <w:rsid w:val="008A09DB"/>
    <w:rsid w:val="008A1D0F"/>
    <w:rsid w:val="008A3A26"/>
    <w:rsid w:val="008A4AE1"/>
    <w:rsid w:val="008A4EF3"/>
    <w:rsid w:val="008A62FA"/>
    <w:rsid w:val="008A6B94"/>
    <w:rsid w:val="008B2DFE"/>
    <w:rsid w:val="008B2E7C"/>
    <w:rsid w:val="008B47BA"/>
    <w:rsid w:val="008B4DD2"/>
    <w:rsid w:val="008B6173"/>
    <w:rsid w:val="008B75D9"/>
    <w:rsid w:val="008B7B59"/>
    <w:rsid w:val="008C0750"/>
    <w:rsid w:val="008C1B58"/>
    <w:rsid w:val="008C39AE"/>
    <w:rsid w:val="008C590D"/>
    <w:rsid w:val="008C66E0"/>
    <w:rsid w:val="008D1333"/>
    <w:rsid w:val="008D1D38"/>
    <w:rsid w:val="008D3F7F"/>
    <w:rsid w:val="008D5112"/>
    <w:rsid w:val="008D5342"/>
    <w:rsid w:val="008D56D8"/>
    <w:rsid w:val="008E031B"/>
    <w:rsid w:val="008E1825"/>
    <w:rsid w:val="008E25A8"/>
    <w:rsid w:val="008E283B"/>
    <w:rsid w:val="008E5B40"/>
    <w:rsid w:val="008E7029"/>
    <w:rsid w:val="008E7EF6"/>
    <w:rsid w:val="008F1490"/>
    <w:rsid w:val="008F1F98"/>
    <w:rsid w:val="008F201D"/>
    <w:rsid w:val="008F24CA"/>
    <w:rsid w:val="008F2651"/>
    <w:rsid w:val="008F3FC3"/>
    <w:rsid w:val="008F4675"/>
    <w:rsid w:val="008F4F66"/>
    <w:rsid w:val="008F6758"/>
    <w:rsid w:val="008F74C4"/>
    <w:rsid w:val="009010AC"/>
    <w:rsid w:val="0090134B"/>
    <w:rsid w:val="009013BD"/>
    <w:rsid w:val="009040DD"/>
    <w:rsid w:val="009041FB"/>
    <w:rsid w:val="00905B47"/>
    <w:rsid w:val="00905DE0"/>
    <w:rsid w:val="009105AD"/>
    <w:rsid w:val="0091331C"/>
    <w:rsid w:val="00913C1D"/>
    <w:rsid w:val="00915ED8"/>
    <w:rsid w:val="00920411"/>
    <w:rsid w:val="009218C3"/>
    <w:rsid w:val="00921AB8"/>
    <w:rsid w:val="009220E2"/>
    <w:rsid w:val="0092468D"/>
    <w:rsid w:val="00924700"/>
    <w:rsid w:val="0092599A"/>
    <w:rsid w:val="009269A2"/>
    <w:rsid w:val="009279DE"/>
    <w:rsid w:val="00930116"/>
    <w:rsid w:val="009306C9"/>
    <w:rsid w:val="0093222C"/>
    <w:rsid w:val="00932756"/>
    <w:rsid w:val="009332A6"/>
    <w:rsid w:val="00933AC1"/>
    <w:rsid w:val="00935AB7"/>
    <w:rsid w:val="00936416"/>
    <w:rsid w:val="0093653B"/>
    <w:rsid w:val="009365E2"/>
    <w:rsid w:val="00936DC8"/>
    <w:rsid w:val="009419F5"/>
    <w:rsid w:val="00941BAC"/>
    <w:rsid w:val="0094212C"/>
    <w:rsid w:val="00943AD5"/>
    <w:rsid w:val="00943B78"/>
    <w:rsid w:val="00945699"/>
    <w:rsid w:val="00945B07"/>
    <w:rsid w:val="00947761"/>
    <w:rsid w:val="0095085A"/>
    <w:rsid w:val="00950CE1"/>
    <w:rsid w:val="009515F0"/>
    <w:rsid w:val="00952499"/>
    <w:rsid w:val="00952E2B"/>
    <w:rsid w:val="00954689"/>
    <w:rsid w:val="009559E4"/>
    <w:rsid w:val="00956396"/>
    <w:rsid w:val="00957B61"/>
    <w:rsid w:val="009617C9"/>
    <w:rsid w:val="00961C93"/>
    <w:rsid w:val="00961F21"/>
    <w:rsid w:val="00963B5E"/>
    <w:rsid w:val="0096424A"/>
    <w:rsid w:val="009642B4"/>
    <w:rsid w:val="00965324"/>
    <w:rsid w:val="0096692C"/>
    <w:rsid w:val="00967448"/>
    <w:rsid w:val="009678A6"/>
    <w:rsid w:val="00967D2F"/>
    <w:rsid w:val="0097091E"/>
    <w:rsid w:val="009717DC"/>
    <w:rsid w:val="009726FE"/>
    <w:rsid w:val="009760D3"/>
    <w:rsid w:val="00977132"/>
    <w:rsid w:val="00981A4B"/>
    <w:rsid w:val="00982501"/>
    <w:rsid w:val="009832D0"/>
    <w:rsid w:val="00983EFB"/>
    <w:rsid w:val="0098473D"/>
    <w:rsid w:val="009853DC"/>
    <w:rsid w:val="0098540E"/>
    <w:rsid w:val="009877D3"/>
    <w:rsid w:val="00987CF6"/>
    <w:rsid w:val="009925BF"/>
    <w:rsid w:val="009941FD"/>
    <w:rsid w:val="00994263"/>
    <w:rsid w:val="00994E8F"/>
    <w:rsid w:val="00994F99"/>
    <w:rsid w:val="009951DC"/>
    <w:rsid w:val="009959BB"/>
    <w:rsid w:val="009960BA"/>
    <w:rsid w:val="009964C2"/>
    <w:rsid w:val="00997158"/>
    <w:rsid w:val="009A0FA3"/>
    <w:rsid w:val="009A1353"/>
    <w:rsid w:val="009A1B1F"/>
    <w:rsid w:val="009A25F2"/>
    <w:rsid w:val="009A2B70"/>
    <w:rsid w:val="009A2B7A"/>
    <w:rsid w:val="009A357A"/>
    <w:rsid w:val="009A3A7C"/>
    <w:rsid w:val="009A3DC7"/>
    <w:rsid w:val="009A44F6"/>
    <w:rsid w:val="009A5D6A"/>
    <w:rsid w:val="009A612C"/>
    <w:rsid w:val="009A68A8"/>
    <w:rsid w:val="009A724B"/>
    <w:rsid w:val="009B077A"/>
    <w:rsid w:val="009B1D28"/>
    <w:rsid w:val="009B2ADB"/>
    <w:rsid w:val="009B2D8C"/>
    <w:rsid w:val="009B4068"/>
    <w:rsid w:val="009B603A"/>
    <w:rsid w:val="009B6D56"/>
    <w:rsid w:val="009B6DA7"/>
    <w:rsid w:val="009B7047"/>
    <w:rsid w:val="009C079D"/>
    <w:rsid w:val="009C16C6"/>
    <w:rsid w:val="009C1CD5"/>
    <w:rsid w:val="009C2D0E"/>
    <w:rsid w:val="009C3DAC"/>
    <w:rsid w:val="009C42E0"/>
    <w:rsid w:val="009C442F"/>
    <w:rsid w:val="009C58A5"/>
    <w:rsid w:val="009C5F19"/>
    <w:rsid w:val="009C667C"/>
    <w:rsid w:val="009C7D18"/>
    <w:rsid w:val="009D0A19"/>
    <w:rsid w:val="009D189A"/>
    <w:rsid w:val="009D1CFE"/>
    <w:rsid w:val="009D251F"/>
    <w:rsid w:val="009D5362"/>
    <w:rsid w:val="009D71EC"/>
    <w:rsid w:val="009E05E9"/>
    <w:rsid w:val="009E0970"/>
    <w:rsid w:val="009E0EBB"/>
    <w:rsid w:val="009E1415"/>
    <w:rsid w:val="009E1C55"/>
    <w:rsid w:val="009E1CFA"/>
    <w:rsid w:val="009E34D1"/>
    <w:rsid w:val="009E43F8"/>
    <w:rsid w:val="009E53DE"/>
    <w:rsid w:val="009E566C"/>
    <w:rsid w:val="009E578B"/>
    <w:rsid w:val="009E5C26"/>
    <w:rsid w:val="009E6116"/>
    <w:rsid w:val="009F037D"/>
    <w:rsid w:val="009F190D"/>
    <w:rsid w:val="009F52A4"/>
    <w:rsid w:val="009F63A3"/>
    <w:rsid w:val="00A01432"/>
    <w:rsid w:val="00A01B52"/>
    <w:rsid w:val="00A0203C"/>
    <w:rsid w:val="00A02E43"/>
    <w:rsid w:val="00A054EF"/>
    <w:rsid w:val="00A06583"/>
    <w:rsid w:val="00A065F9"/>
    <w:rsid w:val="00A0664C"/>
    <w:rsid w:val="00A073D6"/>
    <w:rsid w:val="00A07F34"/>
    <w:rsid w:val="00A10125"/>
    <w:rsid w:val="00A108BA"/>
    <w:rsid w:val="00A10C63"/>
    <w:rsid w:val="00A1234C"/>
    <w:rsid w:val="00A13ED2"/>
    <w:rsid w:val="00A162C8"/>
    <w:rsid w:val="00A17DF8"/>
    <w:rsid w:val="00A20F1F"/>
    <w:rsid w:val="00A21165"/>
    <w:rsid w:val="00A219E5"/>
    <w:rsid w:val="00A22154"/>
    <w:rsid w:val="00A236DC"/>
    <w:rsid w:val="00A2390B"/>
    <w:rsid w:val="00A25C38"/>
    <w:rsid w:val="00A30E9A"/>
    <w:rsid w:val="00A352C1"/>
    <w:rsid w:val="00A357C4"/>
    <w:rsid w:val="00A36BBE"/>
    <w:rsid w:val="00A376F5"/>
    <w:rsid w:val="00A4131C"/>
    <w:rsid w:val="00A4307A"/>
    <w:rsid w:val="00A4341D"/>
    <w:rsid w:val="00A43D17"/>
    <w:rsid w:val="00A44815"/>
    <w:rsid w:val="00A4489F"/>
    <w:rsid w:val="00A4538C"/>
    <w:rsid w:val="00A453C4"/>
    <w:rsid w:val="00A4676C"/>
    <w:rsid w:val="00A4753E"/>
    <w:rsid w:val="00A47C27"/>
    <w:rsid w:val="00A47EBB"/>
    <w:rsid w:val="00A51CDD"/>
    <w:rsid w:val="00A51F0E"/>
    <w:rsid w:val="00A53205"/>
    <w:rsid w:val="00A5571B"/>
    <w:rsid w:val="00A56263"/>
    <w:rsid w:val="00A56FED"/>
    <w:rsid w:val="00A605C6"/>
    <w:rsid w:val="00A60C87"/>
    <w:rsid w:val="00A61974"/>
    <w:rsid w:val="00A62F38"/>
    <w:rsid w:val="00A64881"/>
    <w:rsid w:val="00A6730D"/>
    <w:rsid w:val="00A70BC3"/>
    <w:rsid w:val="00A71246"/>
    <w:rsid w:val="00A71625"/>
    <w:rsid w:val="00A71B9B"/>
    <w:rsid w:val="00A7503B"/>
    <w:rsid w:val="00A751C7"/>
    <w:rsid w:val="00A76A52"/>
    <w:rsid w:val="00A76C5C"/>
    <w:rsid w:val="00A77213"/>
    <w:rsid w:val="00A77553"/>
    <w:rsid w:val="00A77670"/>
    <w:rsid w:val="00A80170"/>
    <w:rsid w:val="00A80DFD"/>
    <w:rsid w:val="00A80E7A"/>
    <w:rsid w:val="00A81455"/>
    <w:rsid w:val="00A81F92"/>
    <w:rsid w:val="00A838A9"/>
    <w:rsid w:val="00A85C43"/>
    <w:rsid w:val="00A8654A"/>
    <w:rsid w:val="00A87844"/>
    <w:rsid w:val="00A87BDE"/>
    <w:rsid w:val="00A87E4F"/>
    <w:rsid w:val="00A904CB"/>
    <w:rsid w:val="00A92AD7"/>
    <w:rsid w:val="00A9387C"/>
    <w:rsid w:val="00A938D8"/>
    <w:rsid w:val="00A9569C"/>
    <w:rsid w:val="00A96DD9"/>
    <w:rsid w:val="00A96FFB"/>
    <w:rsid w:val="00AA038C"/>
    <w:rsid w:val="00AA2E6D"/>
    <w:rsid w:val="00AA40FD"/>
    <w:rsid w:val="00AA4130"/>
    <w:rsid w:val="00AA4E0B"/>
    <w:rsid w:val="00AA59D7"/>
    <w:rsid w:val="00AA7A09"/>
    <w:rsid w:val="00AB3B50"/>
    <w:rsid w:val="00AB4050"/>
    <w:rsid w:val="00AB502E"/>
    <w:rsid w:val="00AC04AD"/>
    <w:rsid w:val="00AC05B1"/>
    <w:rsid w:val="00AC05DD"/>
    <w:rsid w:val="00AC13DD"/>
    <w:rsid w:val="00AC3EB7"/>
    <w:rsid w:val="00AC5B7E"/>
    <w:rsid w:val="00AC7966"/>
    <w:rsid w:val="00AD11A7"/>
    <w:rsid w:val="00AD175F"/>
    <w:rsid w:val="00AD356C"/>
    <w:rsid w:val="00AD57C4"/>
    <w:rsid w:val="00AD59A1"/>
    <w:rsid w:val="00AD722F"/>
    <w:rsid w:val="00AE0E30"/>
    <w:rsid w:val="00AE2323"/>
    <w:rsid w:val="00AE2914"/>
    <w:rsid w:val="00AE42A3"/>
    <w:rsid w:val="00AE6D15"/>
    <w:rsid w:val="00AE73DE"/>
    <w:rsid w:val="00AF2BC6"/>
    <w:rsid w:val="00AF58DD"/>
    <w:rsid w:val="00AF6532"/>
    <w:rsid w:val="00AF78AC"/>
    <w:rsid w:val="00B002FB"/>
    <w:rsid w:val="00B0088A"/>
    <w:rsid w:val="00B00BC6"/>
    <w:rsid w:val="00B01AD7"/>
    <w:rsid w:val="00B04182"/>
    <w:rsid w:val="00B057D7"/>
    <w:rsid w:val="00B05828"/>
    <w:rsid w:val="00B07AE3"/>
    <w:rsid w:val="00B10C4B"/>
    <w:rsid w:val="00B11430"/>
    <w:rsid w:val="00B13FCF"/>
    <w:rsid w:val="00B14A22"/>
    <w:rsid w:val="00B14FED"/>
    <w:rsid w:val="00B166C1"/>
    <w:rsid w:val="00B17622"/>
    <w:rsid w:val="00B17947"/>
    <w:rsid w:val="00B17D30"/>
    <w:rsid w:val="00B20FCF"/>
    <w:rsid w:val="00B22BAE"/>
    <w:rsid w:val="00B244DE"/>
    <w:rsid w:val="00B2452C"/>
    <w:rsid w:val="00B25AF3"/>
    <w:rsid w:val="00B30EE0"/>
    <w:rsid w:val="00B30EE4"/>
    <w:rsid w:val="00B30FEB"/>
    <w:rsid w:val="00B3169C"/>
    <w:rsid w:val="00B31A2B"/>
    <w:rsid w:val="00B3341A"/>
    <w:rsid w:val="00B33CFC"/>
    <w:rsid w:val="00B353EB"/>
    <w:rsid w:val="00B353FF"/>
    <w:rsid w:val="00B35E7A"/>
    <w:rsid w:val="00B3728E"/>
    <w:rsid w:val="00B375EF"/>
    <w:rsid w:val="00B3764A"/>
    <w:rsid w:val="00B40A42"/>
    <w:rsid w:val="00B4193D"/>
    <w:rsid w:val="00B41C56"/>
    <w:rsid w:val="00B426F3"/>
    <w:rsid w:val="00B43737"/>
    <w:rsid w:val="00B439C4"/>
    <w:rsid w:val="00B4535E"/>
    <w:rsid w:val="00B46F44"/>
    <w:rsid w:val="00B5085F"/>
    <w:rsid w:val="00B50A6A"/>
    <w:rsid w:val="00B50C20"/>
    <w:rsid w:val="00B51E7E"/>
    <w:rsid w:val="00B52A8C"/>
    <w:rsid w:val="00B53979"/>
    <w:rsid w:val="00B554AF"/>
    <w:rsid w:val="00B557BD"/>
    <w:rsid w:val="00B5605B"/>
    <w:rsid w:val="00B60228"/>
    <w:rsid w:val="00B602FC"/>
    <w:rsid w:val="00B636A8"/>
    <w:rsid w:val="00B64FB0"/>
    <w:rsid w:val="00B662B8"/>
    <w:rsid w:val="00B665C6"/>
    <w:rsid w:val="00B72563"/>
    <w:rsid w:val="00B732D2"/>
    <w:rsid w:val="00B76AE5"/>
    <w:rsid w:val="00B77068"/>
    <w:rsid w:val="00B778D0"/>
    <w:rsid w:val="00B803CC"/>
    <w:rsid w:val="00B805AF"/>
    <w:rsid w:val="00B81ECD"/>
    <w:rsid w:val="00B85129"/>
    <w:rsid w:val="00B86141"/>
    <w:rsid w:val="00B869EC"/>
    <w:rsid w:val="00B906C4"/>
    <w:rsid w:val="00B9171C"/>
    <w:rsid w:val="00B926C6"/>
    <w:rsid w:val="00B9397A"/>
    <w:rsid w:val="00B95A14"/>
    <w:rsid w:val="00B95DA5"/>
    <w:rsid w:val="00B9602D"/>
    <w:rsid w:val="00B9633D"/>
    <w:rsid w:val="00BA2B0D"/>
    <w:rsid w:val="00BA2D5C"/>
    <w:rsid w:val="00BA2EBE"/>
    <w:rsid w:val="00BA30DF"/>
    <w:rsid w:val="00BA314D"/>
    <w:rsid w:val="00BA3475"/>
    <w:rsid w:val="00BA3D6A"/>
    <w:rsid w:val="00BA4B6A"/>
    <w:rsid w:val="00BA4D20"/>
    <w:rsid w:val="00BA66CF"/>
    <w:rsid w:val="00BB0EE7"/>
    <w:rsid w:val="00BB0F28"/>
    <w:rsid w:val="00BB42EE"/>
    <w:rsid w:val="00BB458A"/>
    <w:rsid w:val="00BB61BC"/>
    <w:rsid w:val="00BB7430"/>
    <w:rsid w:val="00BB7BD0"/>
    <w:rsid w:val="00BC0193"/>
    <w:rsid w:val="00BC01F5"/>
    <w:rsid w:val="00BC06A2"/>
    <w:rsid w:val="00BC1BBC"/>
    <w:rsid w:val="00BC2726"/>
    <w:rsid w:val="00BC2ABB"/>
    <w:rsid w:val="00BC2D98"/>
    <w:rsid w:val="00BC65BC"/>
    <w:rsid w:val="00BC6C37"/>
    <w:rsid w:val="00BD00D3"/>
    <w:rsid w:val="00BD12AE"/>
    <w:rsid w:val="00BD1659"/>
    <w:rsid w:val="00BD1C7A"/>
    <w:rsid w:val="00BD225D"/>
    <w:rsid w:val="00BD3A7D"/>
    <w:rsid w:val="00BD3AA9"/>
    <w:rsid w:val="00BD3CD8"/>
    <w:rsid w:val="00BD4636"/>
    <w:rsid w:val="00BD4A18"/>
    <w:rsid w:val="00BD6123"/>
    <w:rsid w:val="00BD6DB2"/>
    <w:rsid w:val="00BD6F27"/>
    <w:rsid w:val="00BD79AE"/>
    <w:rsid w:val="00BD7E75"/>
    <w:rsid w:val="00BD7F2C"/>
    <w:rsid w:val="00BE11CF"/>
    <w:rsid w:val="00BE21AB"/>
    <w:rsid w:val="00BE55CB"/>
    <w:rsid w:val="00BE5F84"/>
    <w:rsid w:val="00BE681A"/>
    <w:rsid w:val="00BF06DC"/>
    <w:rsid w:val="00BF0894"/>
    <w:rsid w:val="00BF1ABF"/>
    <w:rsid w:val="00BF266B"/>
    <w:rsid w:val="00BF2C35"/>
    <w:rsid w:val="00BF3EC3"/>
    <w:rsid w:val="00BF56B4"/>
    <w:rsid w:val="00BF617A"/>
    <w:rsid w:val="00BF640D"/>
    <w:rsid w:val="00C004ED"/>
    <w:rsid w:val="00C00AC8"/>
    <w:rsid w:val="00C026E4"/>
    <w:rsid w:val="00C0379D"/>
    <w:rsid w:val="00C03931"/>
    <w:rsid w:val="00C05FE3"/>
    <w:rsid w:val="00C06AB9"/>
    <w:rsid w:val="00C10C7E"/>
    <w:rsid w:val="00C11B20"/>
    <w:rsid w:val="00C16C47"/>
    <w:rsid w:val="00C17276"/>
    <w:rsid w:val="00C17986"/>
    <w:rsid w:val="00C2020F"/>
    <w:rsid w:val="00C20411"/>
    <w:rsid w:val="00C2136D"/>
    <w:rsid w:val="00C214EE"/>
    <w:rsid w:val="00C22A5B"/>
    <w:rsid w:val="00C2314B"/>
    <w:rsid w:val="00C231D1"/>
    <w:rsid w:val="00C23B48"/>
    <w:rsid w:val="00C23C77"/>
    <w:rsid w:val="00C240DB"/>
    <w:rsid w:val="00C244E3"/>
    <w:rsid w:val="00C24971"/>
    <w:rsid w:val="00C24BA1"/>
    <w:rsid w:val="00C26180"/>
    <w:rsid w:val="00C2623E"/>
    <w:rsid w:val="00C26441"/>
    <w:rsid w:val="00C26BE5"/>
    <w:rsid w:val="00C26E4D"/>
    <w:rsid w:val="00C274F8"/>
    <w:rsid w:val="00C27909"/>
    <w:rsid w:val="00C27B03"/>
    <w:rsid w:val="00C305A2"/>
    <w:rsid w:val="00C30F7C"/>
    <w:rsid w:val="00C314E1"/>
    <w:rsid w:val="00C34199"/>
    <w:rsid w:val="00C34397"/>
    <w:rsid w:val="00C34DBC"/>
    <w:rsid w:val="00C350D2"/>
    <w:rsid w:val="00C356DC"/>
    <w:rsid w:val="00C4095D"/>
    <w:rsid w:val="00C412AB"/>
    <w:rsid w:val="00C41B26"/>
    <w:rsid w:val="00C42BD8"/>
    <w:rsid w:val="00C42DE5"/>
    <w:rsid w:val="00C42F1B"/>
    <w:rsid w:val="00C43B1E"/>
    <w:rsid w:val="00C44487"/>
    <w:rsid w:val="00C445B4"/>
    <w:rsid w:val="00C4485D"/>
    <w:rsid w:val="00C44A93"/>
    <w:rsid w:val="00C46F78"/>
    <w:rsid w:val="00C524A8"/>
    <w:rsid w:val="00C5252D"/>
    <w:rsid w:val="00C52625"/>
    <w:rsid w:val="00C53E74"/>
    <w:rsid w:val="00C54B5F"/>
    <w:rsid w:val="00C54CAF"/>
    <w:rsid w:val="00C55210"/>
    <w:rsid w:val="00C5592B"/>
    <w:rsid w:val="00C57014"/>
    <w:rsid w:val="00C57AB6"/>
    <w:rsid w:val="00C57B51"/>
    <w:rsid w:val="00C60040"/>
    <w:rsid w:val="00C601D2"/>
    <w:rsid w:val="00C6040B"/>
    <w:rsid w:val="00C60F58"/>
    <w:rsid w:val="00C61899"/>
    <w:rsid w:val="00C61C2F"/>
    <w:rsid w:val="00C634BD"/>
    <w:rsid w:val="00C63C81"/>
    <w:rsid w:val="00C64ABF"/>
    <w:rsid w:val="00C65BCC"/>
    <w:rsid w:val="00C66970"/>
    <w:rsid w:val="00C6744F"/>
    <w:rsid w:val="00C72F20"/>
    <w:rsid w:val="00C76273"/>
    <w:rsid w:val="00C763F6"/>
    <w:rsid w:val="00C76B94"/>
    <w:rsid w:val="00C77367"/>
    <w:rsid w:val="00C80286"/>
    <w:rsid w:val="00C807B4"/>
    <w:rsid w:val="00C821F1"/>
    <w:rsid w:val="00C84A81"/>
    <w:rsid w:val="00C86348"/>
    <w:rsid w:val="00C8691C"/>
    <w:rsid w:val="00C91BF4"/>
    <w:rsid w:val="00C92756"/>
    <w:rsid w:val="00C947D7"/>
    <w:rsid w:val="00C9606B"/>
    <w:rsid w:val="00C96600"/>
    <w:rsid w:val="00C96D35"/>
    <w:rsid w:val="00C977DB"/>
    <w:rsid w:val="00CA05C9"/>
    <w:rsid w:val="00CA0C31"/>
    <w:rsid w:val="00CA168A"/>
    <w:rsid w:val="00CA1FA1"/>
    <w:rsid w:val="00CA357E"/>
    <w:rsid w:val="00CA3D5C"/>
    <w:rsid w:val="00CA3F3B"/>
    <w:rsid w:val="00CA4251"/>
    <w:rsid w:val="00CA44F9"/>
    <w:rsid w:val="00CA48B6"/>
    <w:rsid w:val="00CA4A69"/>
    <w:rsid w:val="00CA5EDB"/>
    <w:rsid w:val="00CA6925"/>
    <w:rsid w:val="00CB2CEE"/>
    <w:rsid w:val="00CB31A7"/>
    <w:rsid w:val="00CB357A"/>
    <w:rsid w:val="00CB4ECE"/>
    <w:rsid w:val="00CB687E"/>
    <w:rsid w:val="00CC1DEC"/>
    <w:rsid w:val="00CC2031"/>
    <w:rsid w:val="00CC20EF"/>
    <w:rsid w:val="00CC2F5B"/>
    <w:rsid w:val="00CC3E0C"/>
    <w:rsid w:val="00CC453C"/>
    <w:rsid w:val="00CC4C29"/>
    <w:rsid w:val="00CC58D3"/>
    <w:rsid w:val="00CC59AE"/>
    <w:rsid w:val="00CC6E14"/>
    <w:rsid w:val="00CC7395"/>
    <w:rsid w:val="00CC784D"/>
    <w:rsid w:val="00CC7DE5"/>
    <w:rsid w:val="00CD0BED"/>
    <w:rsid w:val="00CD0DFC"/>
    <w:rsid w:val="00CD0E45"/>
    <w:rsid w:val="00CD2D7D"/>
    <w:rsid w:val="00CD2FC5"/>
    <w:rsid w:val="00CD5CB8"/>
    <w:rsid w:val="00CD61AF"/>
    <w:rsid w:val="00CD7085"/>
    <w:rsid w:val="00CE06C1"/>
    <w:rsid w:val="00CE0AC4"/>
    <w:rsid w:val="00CE3C50"/>
    <w:rsid w:val="00CE4B14"/>
    <w:rsid w:val="00CE58ED"/>
    <w:rsid w:val="00CE6F4B"/>
    <w:rsid w:val="00CE7D7C"/>
    <w:rsid w:val="00CF08E2"/>
    <w:rsid w:val="00CF2EAB"/>
    <w:rsid w:val="00CF4312"/>
    <w:rsid w:val="00CF6542"/>
    <w:rsid w:val="00CF68D5"/>
    <w:rsid w:val="00CF771D"/>
    <w:rsid w:val="00D0034E"/>
    <w:rsid w:val="00D00E55"/>
    <w:rsid w:val="00D022D0"/>
    <w:rsid w:val="00D025BE"/>
    <w:rsid w:val="00D0337B"/>
    <w:rsid w:val="00D079B2"/>
    <w:rsid w:val="00D106B6"/>
    <w:rsid w:val="00D10B57"/>
    <w:rsid w:val="00D114E9"/>
    <w:rsid w:val="00D13F34"/>
    <w:rsid w:val="00D163D8"/>
    <w:rsid w:val="00D16B5A"/>
    <w:rsid w:val="00D23D13"/>
    <w:rsid w:val="00D25C46"/>
    <w:rsid w:val="00D262C7"/>
    <w:rsid w:val="00D32A8B"/>
    <w:rsid w:val="00D339FB"/>
    <w:rsid w:val="00D33DAA"/>
    <w:rsid w:val="00D34412"/>
    <w:rsid w:val="00D345D6"/>
    <w:rsid w:val="00D360C8"/>
    <w:rsid w:val="00D374A3"/>
    <w:rsid w:val="00D379A8"/>
    <w:rsid w:val="00D408D3"/>
    <w:rsid w:val="00D41BDD"/>
    <w:rsid w:val="00D427B2"/>
    <w:rsid w:val="00D429C6"/>
    <w:rsid w:val="00D4358B"/>
    <w:rsid w:val="00D443D0"/>
    <w:rsid w:val="00D4453B"/>
    <w:rsid w:val="00D46A35"/>
    <w:rsid w:val="00D47748"/>
    <w:rsid w:val="00D47ABB"/>
    <w:rsid w:val="00D47EFD"/>
    <w:rsid w:val="00D506F7"/>
    <w:rsid w:val="00D50B1F"/>
    <w:rsid w:val="00D5170B"/>
    <w:rsid w:val="00D52187"/>
    <w:rsid w:val="00D5382D"/>
    <w:rsid w:val="00D53A26"/>
    <w:rsid w:val="00D53C62"/>
    <w:rsid w:val="00D54CC3"/>
    <w:rsid w:val="00D54CE8"/>
    <w:rsid w:val="00D56F35"/>
    <w:rsid w:val="00D57D5A"/>
    <w:rsid w:val="00D6041A"/>
    <w:rsid w:val="00D633EB"/>
    <w:rsid w:val="00D6408B"/>
    <w:rsid w:val="00D64E67"/>
    <w:rsid w:val="00D656AA"/>
    <w:rsid w:val="00D6666F"/>
    <w:rsid w:val="00D66D40"/>
    <w:rsid w:val="00D6720A"/>
    <w:rsid w:val="00D70FCF"/>
    <w:rsid w:val="00D735ED"/>
    <w:rsid w:val="00D741B9"/>
    <w:rsid w:val="00D75ECF"/>
    <w:rsid w:val="00D768B7"/>
    <w:rsid w:val="00D76A10"/>
    <w:rsid w:val="00D76C1A"/>
    <w:rsid w:val="00D81580"/>
    <w:rsid w:val="00D82A9C"/>
    <w:rsid w:val="00D82FF7"/>
    <w:rsid w:val="00D847FE"/>
    <w:rsid w:val="00D858FB"/>
    <w:rsid w:val="00D865E0"/>
    <w:rsid w:val="00D90BAD"/>
    <w:rsid w:val="00D91D38"/>
    <w:rsid w:val="00D9330B"/>
    <w:rsid w:val="00D9382E"/>
    <w:rsid w:val="00D94355"/>
    <w:rsid w:val="00D9499E"/>
    <w:rsid w:val="00D95E4F"/>
    <w:rsid w:val="00D95E9A"/>
    <w:rsid w:val="00D964EA"/>
    <w:rsid w:val="00D966D0"/>
    <w:rsid w:val="00D9763C"/>
    <w:rsid w:val="00D97713"/>
    <w:rsid w:val="00DA06E9"/>
    <w:rsid w:val="00DA0B6E"/>
    <w:rsid w:val="00DA0C59"/>
    <w:rsid w:val="00DA0FA7"/>
    <w:rsid w:val="00DA3991"/>
    <w:rsid w:val="00DA3C6C"/>
    <w:rsid w:val="00DA3EC2"/>
    <w:rsid w:val="00DA3EE7"/>
    <w:rsid w:val="00DA4C7B"/>
    <w:rsid w:val="00DA5C7C"/>
    <w:rsid w:val="00DA6483"/>
    <w:rsid w:val="00DA71FF"/>
    <w:rsid w:val="00DB0861"/>
    <w:rsid w:val="00DB0876"/>
    <w:rsid w:val="00DB3289"/>
    <w:rsid w:val="00DB4872"/>
    <w:rsid w:val="00DB49E6"/>
    <w:rsid w:val="00DB6821"/>
    <w:rsid w:val="00DB7E6C"/>
    <w:rsid w:val="00DC05F6"/>
    <w:rsid w:val="00DC0BE2"/>
    <w:rsid w:val="00DC1249"/>
    <w:rsid w:val="00DC1AFE"/>
    <w:rsid w:val="00DC5E2A"/>
    <w:rsid w:val="00DC605F"/>
    <w:rsid w:val="00DC673D"/>
    <w:rsid w:val="00DD0452"/>
    <w:rsid w:val="00DD0D33"/>
    <w:rsid w:val="00DD1E13"/>
    <w:rsid w:val="00DD41EB"/>
    <w:rsid w:val="00DD4DC0"/>
    <w:rsid w:val="00DD5A29"/>
    <w:rsid w:val="00DD5D9D"/>
    <w:rsid w:val="00DE086D"/>
    <w:rsid w:val="00DE21F1"/>
    <w:rsid w:val="00DE35CB"/>
    <w:rsid w:val="00DE5B8E"/>
    <w:rsid w:val="00DE5BC7"/>
    <w:rsid w:val="00DE64CB"/>
    <w:rsid w:val="00DF0628"/>
    <w:rsid w:val="00DF1361"/>
    <w:rsid w:val="00DF1ACA"/>
    <w:rsid w:val="00DF21E9"/>
    <w:rsid w:val="00DF2B97"/>
    <w:rsid w:val="00DF325B"/>
    <w:rsid w:val="00DF49C5"/>
    <w:rsid w:val="00DF4E8F"/>
    <w:rsid w:val="00DF5805"/>
    <w:rsid w:val="00E00872"/>
    <w:rsid w:val="00E00F14"/>
    <w:rsid w:val="00E01DFD"/>
    <w:rsid w:val="00E0361E"/>
    <w:rsid w:val="00E043AF"/>
    <w:rsid w:val="00E04E74"/>
    <w:rsid w:val="00E05E95"/>
    <w:rsid w:val="00E06386"/>
    <w:rsid w:val="00E14436"/>
    <w:rsid w:val="00E1686E"/>
    <w:rsid w:val="00E16AFC"/>
    <w:rsid w:val="00E24A5F"/>
    <w:rsid w:val="00E24EB4"/>
    <w:rsid w:val="00E2768D"/>
    <w:rsid w:val="00E31BC1"/>
    <w:rsid w:val="00E320ED"/>
    <w:rsid w:val="00E33AFB"/>
    <w:rsid w:val="00E34218"/>
    <w:rsid w:val="00E35A7D"/>
    <w:rsid w:val="00E36743"/>
    <w:rsid w:val="00E413DB"/>
    <w:rsid w:val="00E41946"/>
    <w:rsid w:val="00E4253A"/>
    <w:rsid w:val="00E448EE"/>
    <w:rsid w:val="00E46282"/>
    <w:rsid w:val="00E46CB5"/>
    <w:rsid w:val="00E47974"/>
    <w:rsid w:val="00E5071E"/>
    <w:rsid w:val="00E5095D"/>
    <w:rsid w:val="00E50BEC"/>
    <w:rsid w:val="00E50D29"/>
    <w:rsid w:val="00E51614"/>
    <w:rsid w:val="00E5216E"/>
    <w:rsid w:val="00E5401D"/>
    <w:rsid w:val="00E549BF"/>
    <w:rsid w:val="00E54EA2"/>
    <w:rsid w:val="00E55345"/>
    <w:rsid w:val="00E569D8"/>
    <w:rsid w:val="00E56FC3"/>
    <w:rsid w:val="00E6028E"/>
    <w:rsid w:val="00E61702"/>
    <w:rsid w:val="00E61825"/>
    <w:rsid w:val="00E6193A"/>
    <w:rsid w:val="00E61A5B"/>
    <w:rsid w:val="00E63156"/>
    <w:rsid w:val="00E66BB1"/>
    <w:rsid w:val="00E67BCF"/>
    <w:rsid w:val="00E7191D"/>
    <w:rsid w:val="00E73653"/>
    <w:rsid w:val="00E73B18"/>
    <w:rsid w:val="00E74F65"/>
    <w:rsid w:val="00E76BB6"/>
    <w:rsid w:val="00E80D56"/>
    <w:rsid w:val="00E82344"/>
    <w:rsid w:val="00E832EE"/>
    <w:rsid w:val="00E83E0E"/>
    <w:rsid w:val="00E846F6"/>
    <w:rsid w:val="00E84C82"/>
    <w:rsid w:val="00E84D64"/>
    <w:rsid w:val="00E857AF"/>
    <w:rsid w:val="00E85E58"/>
    <w:rsid w:val="00E866B2"/>
    <w:rsid w:val="00E86D77"/>
    <w:rsid w:val="00E87408"/>
    <w:rsid w:val="00E914C4"/>
    <w:rsid w:val="00E91907"/>
    <w:rsid w:val="00E91D22"/>
    <w:rsid w:val="00E92519"/>
    <w:rsid w:val="00E92583"/>
    <w:rsid w:val="00E9342E"/>
    <w:rsid w:val="00E934F5"/>
    <w:rsid w:val="00E935A4"/>
    <w:rsid w:val="00E95A29"/>
    <w:rsid w:val="00E966D1"/>
    <w:rsid w:val="00E9674D"/>
    <w:rsid w:val="00E96961"/>
    <w:rsid w:val="00E96BC3"/>
    <w:rsid w:val="00E9755D"/>
    <w:rsid w:val="00E976DA"/>
    <w:rsid w:val="00E97B5A"/>
    <w:rsid w:val="00EA2684"/>
    <w:rsid w:val="00EA2FFC"/>
    <w:rsid w:val="00EA35C5"/>
    <w:rsid w:val="00EA38BF"/>
    <w:rsid w:val="00EA3944"/>
    <w:rsid w:val="00EA46CE"/>
    <w:rsid w:val="00EA485E"/>
    <w:rsid w:val="00EA4C1E"/>
    <w:rsid w:val="00EA5BE3"/>
    <w:rsid w:val="00EA6D48"/>
    <w:rsid w:val="00EA72EC"/>
    <w:rsid w:val="00EA79E3"/>
    <w:rsid w:val="00EB0992"/>
    <w:rsid w:val="00EB11CB"/>
    <w:rsid w:val="00EB169C"/>
    <w:rsid w:val="00EB275A"/>
    <w:rsid w:val="00EB42E4"/>
    <w:rsid w:val="00EB6266"/>
    <w:rsid w:val="00EB6CA7"/>
    <w:rsid w:val="00EB786A"/>
    <w:rsid w:val="00EC09B4"/>
    <w:rsid w:val="00EC1578"/>
    <w:rsid w:val="00EC15FC"/>
    <w:rsid w:val="00EC19D8"/>
    <w:rsid w:val="00EC1C72"/>
    <w:rsid w:val="00EC27DC"/>
    <w:rsid w:val="00EC3CC9"/>
    <w:rsid w:val="00EC4A2C"/>
    <w:rsid w:val="00EC5E6D"/>
    <w:rsid w:val="00EC61F9"/>
    <w:rsid w:val="00EC680A"/>
    <w:rsid w:val="00EC6AA5"/>
    <w:rsid w:val="00EC6B64"/>
    <w:rsid w:val="00EC7651"/>
    <w:rsid w:val="00EC7CDE"/>
    <w:rsid w:val="00ED0267"/>
    <w:rsid w:val="00ED075B"/>
    <w:rsid w:val="00ED0D9B"/>
    <w:rsid w:val="00ED1ECB"/>
    <w:rsid w:val="00ED35D3"/>
    <w:rsid w:val="00ED67A1"/>
    <w:rsid w:val="00EE1D2C"/>
    <w:rsid w:val="00EE2BED"/>
    <w:rsid w:val="00EE363E"/>
    <w:rsid w:val="00EE3682"/>
    <w:rsid w:val="00EE374B"/>
    <w:rsid w:val="00EE54C3"/>
    <w:rsid w:val="00EE7CBA"/>
    <w:rsid w:val="00EF2F3C"/>
    <w:rsid w:val="00EF49CC"/>
    <w:rsid w:val="00EF4A86"/>
    <w:rsid w:val="00EF4E3E"/>
    <w:rsid w:val="00EF5B44"/>
    <w:rsid w:val="00EF5DA0"/>
    <w:rsid w:val="00EF769D"/>
    <w:rsid w:val="00EF7E29"/>
    <w:rsid w:val="00F0011C"/>
    <w:rsid w:val="00F0033A"/>
    <w:rsid w:val="00F003CC"/>
    <w:rsid w:val="00F0137F"/>
    <w:rsid w:val="00F02C49"/>
    <w:rsid w:val="00F03449"/>
    <w:rsid w:val="00F03E62"/>
    <w:rsid w:val="00F043DF"/>
    <w:rsid w:val="00F100F0"/>
    <w:rsid w:val="00F11538"/>
    <w:rsid w:val="00F11631"/>
    <w:rsid w:val="00F119D5"/>
    <w:rsid w:val="00F11BB5"/>
    <w:rsid w:val="00F11BF0"/>
    <w:rsid w:val="00F11E34"/>
    <w:rsid w:val="00F11FA9"/>
    <w:rsid w:val="00F122A7"/>
    <w:rsid w:val="00F13FBA"/>
    <w:rsid w:val="00F14149"/>
    <w:rsid w:val="00F1417B"/>
    <w:rsid w:val="00F15869"/>
    <w:rsid w:val="00F15C6A"/>
    <w:rsid w:val="00F17FFA"/>
    <w:rsid w:val="00F20371"/>
    <w:rsid w:val="00F204D6"/>
    <w:rsid w:val="00F20DBF"/>
    <w:rsid w:val="00F22377"/>
    <w:rsid w:val="00F251FE"/>
    <w:rsid w:val="00F26AC9"/>
    <w:rsid w:val="00F27088"/>
    <w:rsid w:val="00F27A46"/>
    <w:rsid w:val="00F27B2A"/>
    <w:rsid w:val="00F27BFE"/>
    <w:rsid w:val="00F30454"/>
    <w:rsid w:val="00F30600"/>
    <w:rsid w:val="00F32342"/>
    <w:rsid w:val="00F33848"/>
    <w:rsid w:val="00F34B99"/>
    <w:rsid w:val="00F34D28"/>
    <w:rsid w:val="00F35662"/>
    <w:rsid w:val="00F3678C"/>
    <w:rsid w:val="00F369FF"/>
    <w:rsid w:val="00F37468"/>
    <w:rsid w:val="00F37794"/>
    <w:rsid w:val="00F37D8F"/>
    <w:rsid w:val="00F40B02"/>
    <w:rsid w:val="00F40E44"/>
    <w:rsid w:val="00F420F5"/>
    <w:rsid w:val="00F43506"/>
    <w:rsid w:val="00F43948"/>
    <w:rsid w:val="00F44636"/>
    <w:rsid w:val="00F465BE"/>
    <w:rsid w:val="00F52DAB"/>
    <w:rsid w:val="00F543F0"/>
    <w:rsid w:val="00F54E07"/>
    <w:rsid w:val="00F558A2"/>
    <w:rsid w:val="00F560C7"/>
    <w:rsid w:val="00F56402"/>
    <w:rsid w:val="00F56F26"/>
    <w:rsid w:val="00F60004"/>
    <w:rsid w:val="00F6095C"/>
    <w:rsid w:val="00F60973"/>
    <w:rsid w:val="00F60AF9"/>
    <w:rsid w:val="00F6173B"/>
    <w:rsid w:val="00F61EE3"/>
    <w:rsid w:val="00F6220C"/>
    <w:rsid w:val="00F62775"/>
    <w:rsid w:val="00F64A07"/>
    <w:rsid w:val="00F66A07"/>
    <w:rsid w:val="00F6743D"/>
    <w:rsid w:val="00F6769B"/>
    <w:rsid w:val="00F704F4"/>
    <w:rsid w:val="00F70A4C"/>
    <w:rsid w:val="00F722AE"/>
    <w:rsid w:val="00F73714"/>
    <w:rsid w:val="00F73BC9"/>
    <w:rsid w:val="00F74CCC"/>
    <w:rsid w:val="00F773D2"/>
    <w:rsid w:val="00F775AF"/>
    <w:rsid w:val="00F802A8"/>
    <w:rsid w:val="00F80B74"/>
    <w:rsid w:val="00F80D11"/>
    <w:rsid w:val="00F81647"/>
    <w:rsid w:val="00F81D29"/>
    <w:rsid w:val="00F8363A"/>
    <w:rsid w:val="00F83A6D"/>
    <w:rsid w:val="00F854F0"/>
    <w:rsid w:val="00F85D12"/>
    <w:rsid w:val="00F91C4D"/>
    <w:rsid w:val="00F92A78"/>
    <w:rsid w:val="00F92FD9"/>
    <w:rsid w:val="00F9337F"/>
    <w:rsid w:val="00F933CD"/>
    <w:rsid w:val="00F938D1"/>
    <w:rsid w:val="00F94D31"/>
    <w:rsid w:val="00F95404"/>
    <w:rsid w:val="00FA1328"/>
    <w:rsid w:val="00FA3357"/>
    <w:rsid w:val="00FA33D3"/>
    <w:rsid w:val="00FA3538"/>
    <w:rsid w:val="00FA3618"/>
    <w:rsid w:val="00FA363D"/>
    <w:rsid w:val="00FA3A2B"/>
    <w:rsid w:val="00FA616B"/>
    <w:rsid w:val="00FA63D8"/>
    <w:rsid w:val="00FA6603"/>
    <w:rsid w:val="00FA6684"/>
    <w:rsid w:val="00FA6C80"/>
    <w:rsid w:val="00FA731E"/>
    <w:rsid w:val="00FA7BF4"/>
    <w:rsid w:val="00FB04BD"/>
    <w:rsid w:val="00FB252E"/>
    <w:rsid w:val="00FB2B38"/>
    <w:rsid w:val="00FB303C"/>
    <w:rsid w:val="00FB3574"/>
    <w:rsid w:val="00FB3C54"/>
    <w:rsid w:val="00FB4F35"/>
    <w:rsid w:val="00FB5863"/>
    <w:rsid w:val="00FB5E3D"/>
    <w:rsid w:val="00FB640D"/>
    <w:rsid w:val="00FB7598"/>
    <w:rsid w:val="00FB75FF"/>
    <w:rsid w:val="00FB7AB6"/>
    <w:rsid w:val="00FC160B"/>
    <w:rsid w:val="00FC57A3"/>
    <w:rsid w:val="00FC604E"/>
    <w:rsid w:val="00FC6358"/>
    <w:rsid w:val="00FD206D"/>
    <w:rsid w:val="00FD2449"/>
    <w:rsid w:val="00FD320D"/>
    <w:rsid w:val="00FD35C8"/>
    <w:rsid w:val="00FD3EA4"/>
    <w:rsid w:val="00FD7411"/>
    <w:rsid w:val="00FD78DD"/>
    <w:rsid w:val="00FE06BD"/>
    <w:rsid w:val="00FE08B4"/>
    <w:rsid w:val="00FE23DE"/>
    <w:rsid w:val="00FE36F1"/>
    <w:rsid w:val="00FE3D65"/>
    <w:rsid w:val="00FE56B6"/>
    <w:rsid w:val="00FE5F8D"/>
    <w:rsid w:val="00FE616C"/>
    <w:rsid w:val="00FE640A"/>
    <w:rsid w:val="00FE7737"/>
    <w:rsid w:val="00FF15F6"/>
    <w:rsid w:val="00FF2C3B"/>
    <w:rsid w:val="00FF31DF"/>
    <w:rsid w:val="00FF384F"/>
    <w:rsid w:val="00FF4ADD"/>
    <w:rsid w:val="00FF5939"/>
    <w:rsid w:val="00FF6466"/>
    <w:rsid w:val="00FF6F99"/>
    <w:rsid w:val="00FF74F1"/>
    <w:rsid w:val="011B1F48"/>
    <w:rsid w:val="016C2D4F"/>
    <w:rsid w:val="02A42C39"/>
    <w:rsid w:val="03A83142"/>
    <w:rsid w:val="056B73A8"/>
    <w:rsid w:val="05961767"/>
    <w:rsid w:val="07017BF5"/>
    <w:rsid w:val="079B5586"/>
    <w:rsid w:val="0B0D6D8D"/>
    <w:rsid w:val="0B22157F"/>
    <w:rsid w:val="0B307200"/>
    <w:rsid w:val="0BBF6171"/>
    <w:rsid w:val="0BF75680"/>
    <w:rsid w:val="0D135E47"/>
    <w:rsid w:val="0D525E0F"/>
    <w:rsid w:val="0D714DF3"/>
    <w:rsid w:val="0EB6726A"/>
    <w:rsid w:val="0ED51F72"/>
    <w:rsid w:val="0EF76DEA"/>
    <w:rsid w:val="11763F52"/>
    <w:rsid w:val="11B85B3D"/>
    <w:rsid w:val="11BE520B"/>
    <w:rsid w:val="11DD118A"/>
    <w:rsid w:val="11EA29C0"/>
    <w:rsid w:val="121A3933"/>
    <w:rsid w:val="122A0394"/>
    <w:rsid w:val="12B72298"/>
    <w:rsid w:val="14382CE7"/>
    <w:rsid w:val="145A6902"/>
    <w:rsid w:val="17387534"/>
    <w:rsid w:val="17FB6BA2"/>
    <w:rsid w:val="186E7EF6"/>
    <w:rsid w:val="18A275EA"/>
    <w:rsid w:val="18D26C34"/>
    <w:rsid w:val="19C228D7"/>
    <w:rsid w:val="1ADA5A28"/>
    <w:rsid w:val="1B7F707F"/>
    <w:rsid w:val="1C1D316C"/>
    <w:rsid w:val="1D5501C0"/>
    <w:rsid w:val="1DB04589"/>
    <w:rsid w:val="1E1B7EE1"/>
    <w:rsid w:val="24017F0E"/>
    <w:rsid w:val="2599678F"/>
    <w:rsid w:val="280255D6"/>
    <w:rsid w:val="29E659D6"/>
    <w:rsid w:val="2A730D6E"/>
    <w:rsid w:val="2B506C8D"/>
    <w:rsid w:val="2D945822"/>
    <w:rsid w:val="30E57431"/>
    <w:rsid w:val="322F6808"/>
    <w:rsid w:val="32F009EF"/>
    <w:rsid w:val="33A9702C"/>
    <w:rsid w:val="343E6811"/>
    <w:rsid w:val="3448498D"/>
    <w:rsid w:val="34544F48"/>
    <w:rsid w:val="34975D88"/>
    <w:rsid w:val="3644324E"/>
    <w:rsid w:val="377C294C"/>
    <w:rsid w:val="37E3709E"/>
    <w:rsid w:val="38137AD8"/>
    <w:rsid w:val="396D6ECE"/>
    <w:rsid w:val="39876751"/>
    <w:rsid w:val="39FC4F8E"/>
    <w:rsid w:val="3B53582F"/>
    <w:rsid w:val="3B5E296C"/>
    <w:rsid w:val="3CFF5CDE"/>
    <w:rsid w:val="3E833E1A"/>
    <w:rsid w:val="3EF4692E"/>
    <w:rsid w:val="4033594E"/>
    <w:rsid w:val="413C2F8D"/>
    <w:rsid w:val="41FB48EC"/>
    <w:rsid w:val="42F500EF"/>
    <w:rsid w:val="446A6448"/>
    <w:rsid w:val="469B2D5C"/>
    <w:rsid w:val="46BD7C8D"/>
    <w:rsid w:val="47BC5567"/>
    <w:rsid w:val="4A4D54DD"/>
    <w:rsid w:val="4AFB3ECE"/>
    <w:rsid w:val="4B1872BB"/>
    <w:rsid w:val="4B1E24CA"/>
    <w:rsid w:val="4B417204"/>
    <w:rsid w:val="4B5150CB"/>
    <w:rsid w:val="4DB955C6"/>
    <w:rsid w:val="50AF6AED"/>
    <w:rsid w:val="52F55E6D"/>
    <w:rsid w:val="53450B4B"/>
    <w:rsid w:val="576D4477"/>
    <w:rsid w:val="584F5923"/>
    <w:rsid w:val="5937299B"/>
    <w:rsid w:val="59674AFC"/>
    <w:rsid w:val="59823F72"/>
    <w:rsid w:val="59C87B78"/>
    <w:rsid w:val="5A1607A1"/>
    <w:rsid w:val="5ACF1DBD"/>
    <w:rsid w:val="5D8A59DA"/>
    <w:rsid w:val="5EDF528B"/>
    <w:rsid w:val="5EF84D97"/>
    <w:rsid w:val="5F475D4D"/>
    <w:rsid w:val="5FB05672"/>
    <w:rsid w:val="601D50F3"/>
    <w:rsid w:val="609E0204"/>
    <w:rsid w:val="62221A86"/>
    <w:rsid w:val="62836EDC"/>
    <w:rsid w:val="62F636C1"/>
    <w:rsid w:val="639D3ADE"/>
    <w:rsid w:val="64241A5E"/>
    <w:rsid w:val="64406FC4"/>
    <w:rsid w:val="64811712"/>
    <w:rsid w:val="64FC0B78"/>
    <w:rsid w:val="655D59BC"/>
    <w:rsid w:val="65C650B8"/>
    <w:rsid w:val="6618187B"/>
    <w:rsid w:val="66ED5936"/>
    <w:rsid w:val="67BA17BD"/>
    <w:rsid w:val="68BB1E56"/>
    <w:rsid w:val="68DF3160"/>
    <w:rsid w:val="69654BBE"/>
    <w:rsid w:val="6B4317BA"/>
    <w:rsid w:val="6D8514B8"/>
    <w:rsid w:val="6DB21AE3"/>
    <w:rsid w:val="70A54467"/>
    <w:rsid w:val="711679E5"/>
    <w:rsid w:val="711C268D"/>
    <w:rsid w:val="73927111"/>
    <w:rsid w:val="73ED16BE"/>
    <w:rsid w:val="74602A39"/>
    <w:rsid w:val="75D62385"/>
    <w:rsid w:val="77C919D4"/>
    <w:rsid w:val="77F51B55"/>
    <w:rsid w:val="784B2D4E"/>
    <w:rsid w:val="7A6B426D"/>
    <w:rsid w:val="7B255EE6"/>
    <w:rsid w:val="7B697D46"/>
    <w:rsid w:val="7B7B7361"/>
    <w:rsid w:val="7BB35E76"/>
    <w:rsid w:val="7BE27A5C"/>
    <w:rsid w:val="7CA82474"/>
    <w:rsid w:val="7DF5F156"/>
    <w:rsid w:val="7ECE4356"/>
    <w:rsid w:val="7F5C20D9"/>
    <w:rsid w:val="7FC60558"/>
    <w:rsid w:val="FFF72FD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name="index 1"/>
    <w:lsdException w:qFormat="1" w:unhideWhenUsed="0" w:uiPriority="99" w:name="index 2"/>
    <w:lsdException w:qFormat="1" w:unhideWhenUsed="0" w:uiPriority="99" w:name="index 3"/>
    <w:lsdException w:qFormat="1" w:unhideWhenUsed="0" w:uiPriority="99" w:name="index 4"/>
    <w:lsdException w:qFormat="1" w:unhideWhenUsed="0" w:uiPriority="99" w:name="index 5"/>
    <w:lsdException w:qFormat="1" w:unhideWhenUsed="0" w:uiPriority="99" w:name="index 6"/>
    <w:lsdException w:qFormat="1" w:unhideWhenUsed="0" w:uiPriority="99" w:name="index 7"/>
    <w:lsdException w:qFormat="1" w:unhideWhenUsed="0" w:uiPriority="99" w:name="index 8"/>
    <w:lsdException w:qFormat="1" w:unhideWhenUsed="0"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qFormat="1" w:unhideWhenUsed="0" w:uiPriority="99" w:name="index heading"/>
    <w:lsdException w:qFormat="1" w:unhideWhenUsed="0" w:uiPriority="99" w:semiHidden="0" w:name="caption"/>
    <w:lsdException w:qFormat="1" w:unhideWhenUsed="0" w:uiPriority="99" w:name="table of figures"/>
    <w:lsdException w:uiPriority="99" w:name="envelope address" w:locked="1"/>
    <w:lsdException w:uiPriority="99" w:name="envelope return" w:locked="1"/>
    <w:lsdException w:qFormat="1" w:unhideWhenUsed="0" w:uiPriority="99" w:name="footnote reference"/>
    <w:lsdException w:qFormat="1" w:unhideWhenUsed="0" w:uiPriority="99" w:name="annotation reference"/>
    <w:lsdException w:uiPriority="99" w:name="line number" w:locked="1"/>
    <w:lsdException w:qFormat="1" w:unhideWhenUsed="0" w:uiPriority="99" w:semiHidden="0" w:name="page number"/>
    <w:lsdException w:qFormat="1" w:unhideWhenUsed="0" w:uiPriority="99" w:name="endnote reference"/>
    <w:lsdException w:qFormat="1" w:unhideWhenUsed="0" w:uiPriority="99" w:name="endnote text"/>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nhideWhenUsed="0" w:uiPriority="0" w:semiHidden="0" w:name="List Number"/>
    <w:lsdException w:uiPriority="99" w:name="List 2" w:locked="1"/>
    <w:lsdException w:uiPriority="99" w:name="List 3" w:locked="1"/>
    <w:lsdException w:unhideWhenUsed="0" w:uiPriority="0" w:semiHidden="0" w:name="List 4"/>
    <w:lsdException w:unhideWhenUsed="0" w:uiPriority="0" w:semiHidden="0" w:name="List 5"/>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nhideWhenUsed="0" w:uiPriority="0" w:semiHidden="0" w:name="Salutation"/>
    <w:lsdException w:qFormat="1" w:unhideWhenUsed="0" w:uiPriority="99" w:semiHidden="0" w:name="Date"/>
    <w:lsdException w:unhideWhenUsed="0" w:uiPriority="0" w:semiHidden="0" w:name="Body Text First Indent"/>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99" w:semiHidden="0" w:name="Emphasis"/>
    <w:lsdException w:qFormat="1" w:unhideWhenUsed="0" w:uiPriority="99" w:name="Document Map"/>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59" w:semiHidden="0" w:name="Table Grid"/>
    <w:lsdException w:uiPriority="99" w:name="Table Theme" w:locked="1"/>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55"/>
    <w:qFormat/>
    <w:uiPriority w:val="99"/>
    <w:pPr>
      <w:keepNext/>
      <w:keepLines/>
      <w:spacing w:before="340" w:after="330" w:line="578" w:lineRule="auto"/>
      <w:outlineLvl w:val="0"/>
    </w:pPr>
    <w:rPr>
      <w:rFonts w:ascii="Calibri" w:hAnsi="Calibri" w:cs="Calibri"/>
      <w:b/>
      <w:bCs/>
      <w:kern w:val="44"/>
      <w:sz w:val="44"/>
      <w:szCs w:val="44"/>
    </w:rPr>
  </w:style>
  <w:style w:type="paragraph" w:styleId="3">
    <w:name w:val="heading 2"/>
    <w:basedOn w:val="1"/>
    <w:next w:val="1"/>
    <w:link w:val="56"/>
    <w:qFormat/>
    <w:uiPriority w:val="99"/>
    <w:pPr>
      <w:keepNext/>
      <w:keepLines/>
      <w:spacing w:before="260" w:after="260" w:line="416" w:lineRule="auto"/>
      <w:outlineLvl w:val="1"/>
    </w:pPr>
    <w:rPr>
      <w:rFonts w:ascii="Cambria" w:hAnsi="Cambria" w:cs="Cambria"/>
      <w:b/>
      <w:bCs/>
      <w:sz w:val="32"/>
      <w:szCs w:val="32"/>
    </w:rPr>
  </w:style>
  <w:style w:type="paragraph" w:styleId="4">
    <w:name w:val="heading 3"/>
    <w:basedOn w:val="1"/>
    <w:next w:val="1"/>
    <w:link w:val="57"/>
    <w:qFormat/>
    <w:uiPriority w:val="99"/>
    <w:pPr>
      <w:keepNext/>
      <w:keepLines/>
      <w:spacing w:before="260" w:after="260" w:line="416" w:lineRule="auto"/>
      <w:outlineLvl w:val="2"/>
    </w:pPr>
    <w:rPr>
      <w:rFonts w:ascii="Calibri" w:hAnsi="Calibri" w:cs="Calibri"/>
      <w:b/>
      <w:bCs/>
      <w:sz w:val="32"/>
      <w:szCs w:val="32"/>
    </w:rPr>
  </w:style>
  <w:style w:type="paragraph" w:styleId="5">
    <w:name w:val="heading 4"/>
    <w:basedOn w:val="1"/>
    <w:next w:val="1"/>
    <w:link w:val="58"/>
    <w:qFormat/>
    <w:uiPriority w:val="99"/>
    <w:pPr>
      <w:keepNext/>
      <w:keepLines/>
      <w:adjustRightInd w:val="0"/>
      <w:spacing w:before="280" w:after="290" w:line="376" w:lineRule="auto"/>
      <w:outlineLvl w:val="3"/>
    </w:pPr>
    <w:rPr>
      <w:rFonts w:ascii="Arial" w:hAnsi="Arial" w:eastAsia="黑体" w:cs="Arial"/>
      <w:b/>
      <w:bCs/>
      <w:sz w:val="28"/>
      <w:szCs w:val="28"/>
    </w:rPr>
  </w:style>
  <w:style w:type="paragraph" w:styleId="6">
    <w:name w:val="heading 5"/>
    <w:basedOn w:val="1"/>
    <w:next w:val="1"/>
    <w:link w:val="59"/>
    <w:qFormat/>
    <w:uiPriority w:val="99"/>
    <w:pPr>
      <w:keepNext/>
      <w:keepLines/>
      <w:spacing w:before="280" w:after="290" w:line="376" w:lineRule="auto"/>
      <w:outlineLvl w:val="4"/>
    </w:pPr>
    <w:rPr>
      <w:rFonts w:ascii="Calibri" w:hAnsi="Calibri" w:cs="Calibri"/>
      <w:b/>
      <w:bCs/>
      <w:sz w:val="28"/>
      <w:szCs w:val="28"/>
    </w:rPr>
  </w:style>
  <w:style w:type="paragraph" w:styleId="7">
    <w:name w:val="heading 6"/>
    <w:basedOn w:val="1"/>
    <w:next w:val="1"/>
    <w:link w:val="60"/>
    <w:qFormat/>
    <w:uiPriority w:val="99"/>
    <w:pPr>
      <w:keepNext/>
      <w:keepLines/>
      <w:spacing w:before="240" w:after="64" w:line="320" w:lineRule="auto"/>
      <w:outlineLvl w:val="5"/>
    </w:pPr>
    <w:rPr>
      <w:rFonts w:ascii="Arial" w:hAnsi="Arial" w:eastAsia="黑体" w:cs="Arial"/>
      <w:b/>
      <w:bCs/>
      <w:sz w:val="24"/>
      <w:szCs w:val="24"/>
    </w:rPr>
  </w:style>
  <w:style w:type="paragraph" w:styleId="8">
    <w:name w:val="heading 7"/>
    <w:basedOn w:val="1"/>
    <w:next w:val="1"/>
    <w:link w:val="61"/>
    <w:qFormat/>
    <w:uiPriority w:val="99"/>
    <w:pPr>
      <w:keepNext/>
      <w:keepLines/>
      <w:spacing w:before="240" w:after="64" w:line="320" w:lineRule="auto"/>
      <w:outlineLvl w:val="6"/>
    </w:pPr>
    <w:rPr>
      <w:rFonts w:ascii="Calibri" w:hAnsi="Calibri" w:cs="Calibri"/>
      <w:b/>
      <w:bCs/>
      <w:sz w:val="24"/>
      <w:szCs w:val="24"/>
    </w:rPr>
  </w:style>
  <w:style w:type="paragraph" w:styleId="9">
    <w:name w:val="heading 8"/>
    <w:basedOn w:val="1"/>
    <w:next w:val="1"/>
    <w:link w:val="62"/>
    <w:qFormat/>
    <w:uiPriority w:val="99"/>
    <w:pPr>
      <w:keepNext/>
      <w:keepLines/>
      <w:spacing w:before="240" w:after="64" w:line="320" w:lineRule="auto"/>
      <w:outlineLvl w:val="7"/>
    </w:pPr>
    <w:rPr>
      <w:rFonts w:ascii="Arial" w:hAnsi="Arial" w:eastAsia="黑体" w:cs="Arial"/>
      <w:sz w:val="24"/>
      <w:szCs w:val="24"/>
    </w:rPr>
  </w:style>
  <w:style w:type="paragraph" w:styleId="10">
    <w:name w:val="heading 9"/>
    <w:basedOn w:val="1"/>
    <w:next w:val="1"/>
    <w:link w:val="63"/>
    <w:qFormat/>
    <w:uiPriority w:val="99"/>
    <w:pPr>
      <w:keepNext/>
      <w:keepLines/>
      <w:spacing w:before="240" w:after="64" w:line="320" w:lineRule="auto"/>
      <w:outlineLvl w:val="8"/>
    </w:pPr>
    <w:rPr>
      <w:rFonts w:ascii="Arial" w:hAnsi="Arial" w:eastAsia="黑体" w:cs="Arial"/>
    </w:rPr>
  </w:style>
  <w:style w:type="character" w:default="1" w:styleId="47">
    <w:name w:val="Default Paragraph Font"/>
    <w:semiHidden/>
    <w:unhideWhenUsed/>
    <w:qFormat/>
    <w:uiPriority w:val="1"/>
  </w:style>
  <w:style w:type="table" w:default="1" w:styleId="45">
    <w:name w:val="Normal Table"/>
    <w:semiHidden/>
    <w:unhideWhenUsed/>
    <w:qFormat/>
    <w:uiPriority w:val="99"/>
    <w:tblPr>
      <w:tblLayout w:type="fixed"/>
      <w:tblCellMar>
        <w:top w:w="0" w:type="dxa"/>
        <w:left w:w="108" w:type="dxa"/>
        <w:bottom w:w="0" w:type="dxa"/>
        <w:right w:w="108" w:type="dxa"/>
      </w:tblCellMar>
    </w:tblPr>
  </w:style>
  <w:style w:type="paragraph" w:styleId="11">
    <w:name w:val="toc 7"/>
    <w:basedOn w:val="1"/>
    <w:next w:val="1"/>
    <w:semiHidden/>
    <w:qFormat/>
    <w:uiPriority w:val="99"/>
    <w:pPr>
      <w:tabs>
        <w:tab w:val="right" w:leader="dot" w:pos="9241"/>
      </w:tabs>
      <w:ind w:firstLine="505" w:firstLineChars="500"/>
      <w:jc w:val="left"/>
    </w:pPr>
    <w:rPr>
      <w:rFonts w:ascii="宋体" w:cs="宋体"/>
    </w:rPr>
  </w:style>
  <w:style w:type="paragraph" w:styleId="12">
    <w:name w:val="index 8"/>
    <w:basedOn w:val="1"/>
    <w:next w:val="1"/>
    <w:semiHidden/>
    <w:qFormat/>
    <w:uiPriority w:val="99"/>
    <w:pPr>
      <w:ind w:left="1680" w:hanging="210"/>
      <w:jc w:val="left"/>
    </w:pPr>
    <w:rPr>
      <w:rFonts w:ascii="Calibri" w:hAnsi="Calibri" w:cs="Calibri"/>
      <w:sz w:val="20"/>
      <w:szCs w:val="20"/>
    </w:rPr>
  </w:style>
  <w:style w:type="paragraph" w:styleId="13">
    <w:name w:val="Normal Indent"/>
    <w:basedOn w:val="1"/>
    <w:qFormat/>
    <w:uiPriority w:val="99"/>
    <w:pPr>
      <w:adjustRightInd w:val="0"/>
      <w:spacing w:line="400" w:lineRule="exact"/>
      <w:ind w:firstLine="420"/>
    </w:pPr>
    <w:rPr>
      <w:rFonts w:ascii="Calibri" w:hAnsi="Calibri" w:cs="Calibri"/>
    </w:rPr>
  </w:style>
  <w:style w:type="paragraph" w:styleId="14">
    <w:name w:val="caption"/>
    <w:basedOn w:val="1"/>
    <w:next w:val="1"/>
    <w:qFormat/>
    <w:uiPriority w:val="99"/>
    <w:pPr>
      <w:spacing w:before="152" w:after="160"/>
    </w:pPr>
    <w:rPr>
      <w:rFonts w:ascii="Arial" w:hAnsi="Arial" w:eastAsia="黑体" w:cs="Arial"/>
      <w:sz w:val="20"/>
      <w:szCs w:val="20"/>
    </w:rPr>
  </w:style>
  <w:style w:type="paragraph" w:styleId="15">
    <w:name w:val="index 5"/>
    <w:basedOn w:val="1"/>
    <w:next w:val="1"/>
    <w:semiHidden/>
    <w:qFormat/>
    <w:uiPriority w:val="99"/>
    <w:pPr>
      <w:ind w:left="1050" w:hanging="210"/>
      <w:jc w:val="left"/>
    </w:pPr>
    <w:rPr>
      <w:rFonts w:ascii="Calibri" w:hAnsi="Calibri" w:cs="Calibri"/>
      <w:sz w:val="20"/>
      <w:szCs w:val="20"/>
    </w:rPr>
  </w:style>
  <w:style w:type="paragraph" w:styleId="16">
    <w:name w:val="Document Map"/>
    <w:basedOn w:val="1"/>
    <w:link w:val="64"/>
    <w:semiHidden/>
    <w:qFormat/>
    <w:uiPriority w:val="99"/>
    <w:pPr>
      <w:shd w:val="clear" w:color="auto" w:fill="000080"/>
    </w:pPr>
  </w:style>
  <w:style w:type="paragraph" w:styleId="17">
    <w:name w:val="annotation text"/>
    <w:basedOn w:val="1"/>
    <w:link w:val="65"/>
    <w:semiHidden/>
    <w:qFormat/>
    <w:uiPriority w:val="99"/>
    <w:pPr>
      <w:jc w:val="left"/>
    </w:pPr>
  </w:style>
  <w:style w:type="paragraph" w:styleId="18">
    <w:name w:val="index 6"/>
    <w:basedOn w:val="1"/>
    <w:next w:val="1"/>
    <w:semiHidden/>
    <w:qFormat/>
    <w:uiPriority w:val="99"/>
    <w:pPr>
      <w:ind w:left="1260" w:hanging="210"/>
      <w:jc w:val="left"/>
    </w:pPr>
    <w:rPr>
      <w:rFonts w:ascii="Calibri" w:hAnsi="Calibri" w:cs="Calibri"/>
      <w:sz w:val="20"/>
      <w:szCs w:val="20"/>
    </w:rPr>
  </w:style>
  <w:style w:type="paragraph" w:styleId="19">
    <w:name w:val="Body Text"/>
    <w:basedOn w:val="1"/>
    <w:link w:val="66"/>
    <w:qFormat/>
    <w:uiPriority w:val="99"/>
    <w:pPr>
      <w:adjustRightInd w:val="0"/>
      <w:spacing w:after="120" w:line="400" w:lineRule="exact"/>
    </w:pPr>
    <w:rPr>
      <w:rFonts w:ascii="Calibri" w:hAnsi="Calibri" w:cs="Calibri"/>
    </w:rPr>
  </w:style>
  <w:style w:type="paragraph" w:styleId="20">
    <w:name w:val="index 4"/>
    <w:basedOn w:val="1"/>
    <w:next w:val="1"/>
    <w:semiHidden/>
    <w:qFormat/>
    <w:uiPriority w:val="99"/>
    <w:pPr>
      <w:ind w:left="840" w:hanging="210"/>
      <w:jc w:val="left"/>
    </w:pPr>
    <w:rPr>
      <w:rFonts w:ascii="Calibri" w:hAnsi="Calibri" w:cs="Calibri"/>
      <w:sz w:val="20"/>
      <w:szCs w:val="20"/>
    </w:rPr>
  </w:style>
  <w:style w:type="paragraph" w:styleId="21">
    <w:name w:val="toc 5"/>
    <w:basedOn w:val="1"/>
    <w:next w:val="1"/>
    <w:semiHidden/>
    <w:qFormat/>
    <w:uiPriority w:val="99"/>
    <w:pPr>
      <w:tabs>
        <w:tab w:val="right" w:leader="dot" w:pos="9241"/>
      </w:tabs>
      <w:ind w:firstLine="300" w:firstLineChars="300"/>
      <w:jc w:val="left"/>
    </w:pPr>
    <w:rPr>
      <w:rFonts w:ascii="宋体" w:cs="宋体"/>
    </w:rPr>
  </w:style>
  <w:style w:type="paragraph" w:styleId="22">
    <w:name w:val="toc 3"/>
    <w:basedOn w:val="1"/>
    <w:next w:val="1"/>
    <w:qFormat/>
    <w:uiPriority w:val="39"/>
    <w:pPr>
      <w:tabs>
        <w:tab w:val="right" w:leader="dot" w:pos="9241"/>
      </w:tabs>
      <w:ind w:firstLine="210" w:firstLineChars="100"/>
      <w:jc w:val="left"/>
    </w:pPr>
    <w:rPr>
      <w:rFonts w:ascii="宋体" w:cs="宋体"/>
    </w:rPr>
  </w:style>
  <w:style w:type="paragraph" w:styleId="23">
    <w:name w:val="toc 8"/>
    <w:basedOn w:val="1"/>
    <w:next w:val="1"/>
    <w:semiHidden/>
    <w:qFormat/>
    <w:uiPriority w:val="99"/>
    <w:pPr>
      <w:tabs>
        <w:tab w:val="right" w:leader="dot" w:pos="9241"/>
      </w:tabs>
      <w:ind w:firstLine="607" w:firstLineChars="600"/>
      <w:jc w:val="left"/>
    </w:pPr>
    <w:rPr>
      <w:rFonts w:ascii="宋体" w:cs="宋体"/>
    </w:rPr>
  </w:style>
  <w:style w:type="paragraph" w:styleId="24">
    <w:name w:val="index 3"/>
    <w:basedOn w:val="1"/>
    <w:next w:val="1"/>
    <w:semiHidden/>
    <w:qFormat/>
    <w:uiPriority w:val="99"/>
    <w:pPr>
      <w:ind w:left="630" w:hanging="210"/>
      <w:jc w:val="left"/>
    </w:pPr>
    <w:rPr>
      <w:rFonts w:ascii="Calibri" w:hAnsi="Calibri" w:cs="Calibri"/>
      <w:sz w:val="20"/>
      <w:szCs w:val="20"/>
    </w:rPr>
  </w:style>
  <w:style w:type="paragraph" w:styleId="25">
    <w:name w:val="Date"/>
    <w:basedOn w:val="1"/>
    <w:next w:val="1"/>
    <w:link w:val="67"/>
    <w:qFormat/>
    <w:uiPriority w:val="99"/>
    <w:pPr>
      <w:ind w:left="100" w:leftChars="2500"/>
    </w:pPr>
    <w:rPr>
      <w:rFonts w:ascii="Calibri" w:hAnsi="Calibri" w:cs="Calibri"/>
    </w:rPr>
  </w:style>
  <w:style w:type="paragraph" w:styleId="26">
    <w:name w:val="endnote text"/>
    <w:basedOn w:val="1"/>
    <w:link w:val="68"/>
    <w:semiHidden/>
    <w:qFormat/>
    <w:uiPriority w:val="99"/>
    <w:pPr>
      <w:snapToGrid w:val="0"/>
      <w:jc w:val="left"/>
    </w:pPr>
  </w:style>
  <w:style w:type="paragraph" w:styleId="27">
    <w:name w:val="Balloon Text"/>
    <w:basedOn w:val="1"/>
    <w:link w:val="69"/>
    <w:semiHidden/>
    <w:qFormat/>
    <w:uiPriority w:val="99"/>
    <w:rPr>
      <w:rFonts w:ascii="Calibri" w:hAnsi="Calibri" w:cs="Calibri"/>
      <w:sz w:val="18"/>
      <w:szCs w:val="18"/>
    </w:rPr>
  </w:style>
  <w:style w:type="paragraph" w:styleId="28">
    <w:name w:val="footer"/>
    <w:basedOn w:val="1"/>
    <w:link w:val="70"/>
    <w:qFormat/>
    <w:uiPriority w:val="99"/>
    <w:pPr>
      <w:snapToGrid w:val="0"/>
      <w:ind w:right="210" w:rightChars="100"/>
      <w:jc w:val="right"/>
    </w:pPr>
    <w:rPr>
      <w:sz w:val="18"/>
      <w:szCs w:val="18"/>
    </w:rPr>
  </w:style>
  <w:style w:type="paragraph" w:styleId="29">
    <w:name w:val="header"/>
    <w:basedOn w:val="1"/>
    <w:link w:val="71"/>
    <w:qFormat/>
    <w:uiPriority w:val="99"/>
    <w:pPr>
      <w:snapToGrid w:val="0"/>
      <w:jc w:val="left"/>
    </w:pPr>
    <w:rPr>
      <w:sz w:val="18"/>
      <w:szCs w:val="18"/>
    </w:rPr>
  </w:style>
  <w:style w:type="paragraph" w:styleId="30">
    <w:name w:val="toc 1"/>
    <w:basedOn w:val="1"/>
    <w:next w:val="1"/>
    <w:qFormat/>
    <w:uiPriority w:val="39"/>
    <w:pPr>
      <w:tabs>
        <w:tab w:val="right" w:leader="dot" w:pos="9241"/>
      </w:tabs>
      <w:spacing w:beforeLines="25" w:afterLines="25"/>
      <w:jc w:val="left"/>
    </w:pPr>
    <w:rPr>
      <w:rFonts w:ascii="宋体" w:cs="宋体"/>
    </w:rPr>
  </w:style>
  <w:style w:type="paragraph" w:styleId="31">
    <w:name w:val="toc 4"/>
    <w:basedOn w:val="1"/>
    <w:next w:val="1"/>
    <w:semiHidden/>
    <w:qFormat/>
    <w:uiPriority w:val="99"/>
    <w:pPr>
      <w:tabs>
        <w:tab w:val="right" w:leader="dot" w:pos="9241"/>
      </w:tabs>
      <w:ind w:firstLine="198" w:firstLineChars="200"/>
      <w:jc w:val="left"/>
    </w:pPr>
    <w:rPr>
      <w:rFonts w:ascii="宋体" w:cs="宋体"/>
    </w:rPr>
  </w:style>
  <w:style w:type="paragraph" w:styleId="32">
    <w:name w:val="index heading"/>
    <w:basedOn w:val="1"/>
    <w:next w:val="33"/>
    <w:semiHidden/>
    <w:qFormat/>
    <w:uiPriority w:val="99"/>
    <w:pPr>
      <w:spacing w:before="120" w:after="120"/>
      <w:jc w:val="center"/>
    </w:pPr>
    <w:rPr>
      <w:rFonts w:ascii="Calibri" w:hAnsi="Calibri" w:cs="Calibri"/>
      <w:b/>
      <w:bCs/>
    </w:rPr>
  </w:style>
  <w:style w:type="paragraph" w:styleId="33">
    <w:name w:val="index 1"/>
    <w:basedOn w:val="1"/>
    <w:next w:val="34"/>
    <w:semiHidden/>
    <w:qFormat/>
    <w:uiPriority w:val="99"/>
    <w:pPr>
      <w:tabs>
        <w:tab w:val="right" w:leader="dot" w:pos="9299"/>
      </w:tabs>
      <w:jc w:val="left"/>
    </w:pPr>
    <w:rPr>
      <w:rFonts w:ascii="宋体" w:cs="宋体"/>
    </w:rPr>
  </w:style>
  <w:style w:type="paragraph" w:customStyle="1" w:styleId="34">
    <w:name w:val="段"/>
    <w:link w:val="75"/>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szCs w:val="21"/>
      <w:lang w:val="en-US" w:eastAsia="zh-CN" w:bidi="ar-SA"/>
    </w:rPr>
  </w:style>
  <w:style w:type="paragraph" w:styleId="35">
    <w:name w:val="footnote text"/>
    <w:basedOn w:val="1"/>
    <w:link w:val="72"/>
    <w:semiHidden/>
    <w:qFormat/>
    <w:uiPriority w:val="99"/>
    <w:pPr>
      <w:numPr>
        <w:ilvl w:val="0"/>
        <w:numId w:val="1"/>
      </w:numPr>
      <w:snapToGrid w:val="0"/>
      <w:jc w:val="left"/>
    </w:pPr>
    <w:rPr>
      <w:rFonts w:ascii="宋体" w:cs="宋体"/>
      <w:sz w:val="18"/>
      <w:szCs w:val="18"/>
    </w:rPr>
  </w:style>
  <w:style w:type="paragraph" w:styleId="36">
    <w:name w:val="toc 6"/>
    <w:basedOn w:val="1"/>
    <w:next w:val="1"/>
    <w:semiHidden/>
    <w:qFormat/>
    <w:uiPriority w:val="99"/>
    <w:pPr>
      <w:tabs>
        <w:tab w:val="right" w:leader="dot" w:pos="9241"/>
      </w:tabs>
      <w:ind w:firstLine="403" w:firstLineChars="400"/>
      <w:jc w:val="left"/>
    </w:pPr>
    <w:rPr>
      <w:rFonts w:ascii="宋体" w:cs="宋体"/>
    </w:rPr>
  </w:style>
  <w:style w:type="paragraph" w:styleId="37">
    <w:name w:val="index 7"/>
    <w:basedOn w:val="1"/>
    <w:next w:val="1"/>
    <w:semiHidden/>
    <w:qFormat/>
    <w:uiPriority w:val="99"/>
    <w:pPr>
      <w:ind w:left="1470" w:hanging="210"/>
      <w:jc w:val="left"/>
    </w:pPr>
    <w:rPr>
      <w:rFonts w:ascii="Calibri" w:hAnsi="Calibri" w:cs="Calibri"/>
      <w:sz w:val="20"/>
      <w:szCs w:val="20"/>
    </w:rPr>
  </w:style>
  <w:style w:type="paragraph" w:styleId="38">
    <w:name w:val="index 9"/>
    <w:basedOn w:val="1"/>
    <w:next w:val="1"/>
    <w:semiHidden/>
    <w:qFormat/>
    <w:uiPriority w:val="99"/>
    <w:pPr>
      <w:ind w:left="1890" w:hanging="210"/>
      <w:jc w:val="left"/>
    </w:pPr>
    <w:rPr>
      <w:rFonts w:ascii="Calibri" w:hAnsi="Calibri" w:cs="Calibri"/>
      <w:sz w:val="20"/>
      <w:szCs w:val="20"/>
    </w:rPr>
  </w:style>
  <w:style w:type="paragraph" w:styleId="39">
    <w:name w:val="table of figures"/>
    <w:basedOn w:val="1"/>
    <w:next w:val="1"/>
    <w:semiHidden/>
    <w:qFormat/>
    <w:uiPriority w:val="99"/>
    <w:pPr>
      <w:jc w:val="left"/>
    </w:pPr>
    <w:rPr>
      <w:rFonts w:ascii="Calibri" w:hAnsi="Calibri" w:cs="Calibri"/>
    </w:rPr>
  </w:style>
  <w:style w:type="paragraph" w:styleId="40">
    <w:name w:val="toc 2"/>
    <w:basedOn w:val="1"/>
    <w:next w:val="1"/>
    <w:qFormat/>
    <w:uiPriority w:val="39"/>
    <w:pPr>
      <w:tabs>
        <w:tab w:val="right" w:leader="dot" w:pos="9241"/>
      </w:tabs>
    </w:pPr>
    <w:rPr>
      <w:rFonts w:ascii="宋体" w:cs="宋体"/>
    </w:rPr>
  </w:style>
  <w:style w:type="paragraph" w:styleId="41">
    <w:name w:val="toc 9"/>
    <w:basedOn w:val="1"/>
    <w:next w:val="1"/>
    <w:semiHidden/>
    <w:qFormat/>
    <w:uiPriority w:val="99"/>
    <w:pPr>
      <w:ind w:left="1470"/>
      <w:jc w:val="left"/>
    </w:pPr>
    <w:rPr>
      <w:sz w:val="20"/>
      <w:szCs w:val="20"/>
    </w:rPr>
  </w:style>
  <w:style w:type="paragraph" w:styleId="42">
    <w:name w:val="index 2"/>
    <w:basedOn w:val="1"/>
    <w:next w:val="1"/>
    <w:semiHidden/>
    <w:qFormat/>
    <w:uiPriority w:val="99"/>
    <w:pPr>
      <w:ind w:left="420" w:hanging="210"/>
      <w:jc w:val="left"/>
    </w:pPr>
    <w:rPr>
      <w:rFonts w:ascii="Calibri" w:hAnsi="Calibri" w:cs="Calibri"/>
      <w:sz w:val="20"/>
      <w:szCs w:val="20"/>
    </w:rPr>
  </w:style>
  <w:style w:type="paragraph" w:styleId="43">
    <w:name w:val="Title"/>
    <w:basedOn w:val="1"/>
    <w:link w:val="73"/>
    <w:qFormat/>
    <w:uiPriority w:val="99"/>
    <w:pPr>
      <w:adjustRightInd w:val="0"/>
      <w:spacing w:before="240" w:after="60" w:line="400" w:lineRule="exact"/>
      <w:jc w:val="center"/>
      <w:outlineLvl w:val="0"/>
    </w:pPr>
    <w:rPr>
      <w:rFonts w:ascii="Arial" w:hAnsi="Arial" w:cs="Arial"/>
      <w:b/>
      <w:bCs/>
      <w:sz w:val="32"/>
      <w:szCs w:val="32"/>
    </w:rPr>
  </w:style>
  <w:style w:type="paragraph" w:styleId="44">
    <w:name w:val="annotation subject"/>
    <w:basedOn w:val="17"/>
    <w:next w:val="17"/>
    <w:link w:val="74"/>
    <w:semiHidden/>
    <w:qFormat/>
    <w:uiPriority w:val="99"/>
    <w:rPr>
      <w:b/>
      <w:bCs/>
    </w:rPr>
  </w:style>
  <w:style w:type="table" w:styleId="46">
    <w:name w:val="Table Grid"/>
    <w:basedOn w:val="45"/>
    <w:qFormat/>
    <w:uiPriority w:val="59"/>
    <w:rPr>
      <w:rFonts w:ascii="宋体" w:cs="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48">
    <w:name w:val="Strong"/>
    <w:basedOn w:val="47"/>
    <w:qFormat/>
    <w:uiPriority w:val="99"/>
    <w:rPr>
      <w:b/>
      <w:bCs/>
    </w:rPr>
  </w:style>
  <w:style w:type="character" w:styleId="49">
    <w:name w:val="endnote reference"/>
    <w:basedOn w:val="47"/>
    <w:semiHidden/>
    <w:qFormat/>
    <w:uiPriority w:val="99"/>
    <w:rPr>
      <w:vertAlign w:val="superscript"/>
    </w:rPr>
  </w:style>
  <w:style w:type="character" w:styleId="50">
    <w:name w:val="page number"/>
    <w:basedOn w:val="47"/>
    <w:qFormat/>
    <w:uiPriority w:val="99"/>
    <w:rPr>
      <w:rFonts w:ascii="Times New Roman" w:hAnsi="Times New Roman" w:eastAsia="宋体" w:cs="Times New Roman"/>
      <w:sz w:val="18"/>
      <w:szCs w:val="18"/>
    </w:rPr>
  </w:style>
  <w:style w:type="character" w:styleId="51">
    <w:name w:val="Emphasis"/>
    <w:basedOn w:val="47"/>
    <w:qFormat/>
    <w:uiPriority w:val="99"/>
    <w:rPr>
      <w:i/>
      <w:iCs/>
    </w:rPr>
  </w:style>
  <w:style w:type="character" w:styleId="52">
    <w:name w:val="Hyperlink"/>
    <w:basedOn w:val="47"/>
    <w:qFormat/>
    <w:uiPriority w:val="99"/>
    <w:rPr>
      <w:color w:val="0000FF"/>
      <w:spacing w:val="0"/>
      <w:w w:val="100"/>
      <w:sz w:val="21"/>
      <w:szCs w:val="21"/>
      <w:u w:val="single"/>
    </w:rPr>
  </w:style>
  <w:style w:type="character" w:styleId="53">
    <w:name w:val="annotation reference"/>
    <w:basedOn w:val="47"/>
    <w:semiHidden/>
    <w:qFormat/>
    <w:uiPriority w:val="99"/>
    <w:rPr>
      <w:sz w:val="21"/>
      <w:szCs w:val="21"/>
    </w:rPr>
  </w:style>
  <w:style w:type="character" w:styleId="54">
    <w:name w:val="footnote reference"/>
    <w:basedOn w:val="47"/>
    <w:semiHidden/>
    <w:qFormat/>
    <w:uiPriority w:val="99"/>
    <w:rPr>
      <w:vertAlign w:val="superscript"/>
    </w:rPr>
  </w:style>
  <w:style w:type="character" w:customStyle="1" w:styleId="55">
    <w:name w:val="标题 1 Char"/>
    <w:basedOn w:val="47"/>
    <w:link w:val="2"/>
    <w:qFormat/>
    <w:locked/>
    <w:uiPriority w:val="99"/>
    <w:rPr>
      <w:rFonts w:ascii="Calibri" w:hAnsi="Calibri" w:eastAsia="宋体" w:cs="Calibri"/>
      <w:b/>
      <w:bCs/>
      <w:kern w:val="44"/>
      <w:sz w:val="44"/>
      <w:szCs w:val="44"/>
    </w:rPr>
  </w:style>
  <w:style w:type="character" w:customStyle="1" w:styleId="56">
    <w:name w:val="标题 2 Char"/>
    <w:basedOn w:val="47"/>
    <w:link w:val="3"/>
    <w:qFormat/>
    <w:locked/>
    <w:uiPriority w:val="99"/>
    <w:rPr>
      <w:rFonts w:ascii="Cambria" w:hAnsi="Cambria" w:eastAsia="宋体" w:cs="Cambria"/>
      <w:b/>
      <w:bCs/>
      <w:kern w:val="2"/>
      <w:sz w:val="32"/>
      <w:szCs w:val="32"/>
    </w:rPr>
  </w:style>
  <w:style w:type="character" w:customStyle="1" w:styleId="57">
    <w:name w:val="标题 3 Char"/>
    <w:basedOn w:val="47"/>
    <w:link w:val="4"/>
    <w:qFormat/>
    <w:locked/>
    <w:uiPriority w:val="99"/>
    <w:rPr>
      <w:rFonts w:ascii="Calibri" w:hAnsi="Calibri" w:eastAsia="宋体" w:cs="Calibri"/>
      <w:b/>
      <w:bCs/>
      <w:kern w:val="2"/>
      <w:sz w:val="32"/>
      <w:szCs w:val="32"/>
    </w:rPr>
  </w:style>
  <w:style w:type="character" w:customStyle="1" w:styleId="58">
    <w:name w:val="标题 4 Char"/>
    <w:basedOn w:val="47"/>
    <w:link w:val="5"/>
    <w:qFormat/>
    <w:locked/>
    <w:uiPriority w:val="99"/>
    <w:rPr>
      <w:rFonts w:ascii="Arial" w:hAnsi="Arial" w:eastAsia="黑体" w:cs="Arial"/>
      <w:b/>
      <w:bCs/>
      <w:kern w:val="2"/>
      <w:sz w:val="28"/>
      <w:szCs w:val="28"/>
    </w:rPr>
  </w:style>
  <w:style w:type="character" w:customStyle="1" w:styleId="59">
    <w:name w:val="标题 5 Char"/>
    <w:basedOn w:val="47"/>
    <w:link w:val="6"/>
    <w:qFormat/>
    <w:locked/>
    <w:uiPriority w:val="99"/>
    <w:rPr>
      <w:rFonts w:ascii="Calibri" w:hAnsi="Calibri" w:cs="Calibri"/>
      <w:b/>
      <w:bCs/>
      <w:kern w:val="2"/>
      <w:sz w:val="28"/>
      <w:szCs w:val="28"/>
    </w:rPr>
  </w:style>
  <w:style w:type="character" w:customStyle="1" w:styleId="60">
    <w:name w:val="标题 6 Char"/>
    <w:basedOn w:val="47"/>
    <w:link w:val="7"/>
    <w:qFormat/>
    <w:locked/>
    <w:uiPriority w:val="99"/>
    <w:rPr>
      <w:rFonts w:ascii="Arial" w:hAnsi="Arial" w:eastAsia="黑体" w:cs="Arial"/>
      <w:b/>
      <w:bCs/>
      <w:kern w:val="2"/>
      <w:sz w:val="24"/>
      <w:szCs w:val="24"/>
    </w:rPr>
  </w:style>
  <w:style w:type="character" w:customStyle="1" w:styleId="61">
    <w:name w:val="标题 7 Char"/>
    <w:basedOn w:val="47"/>
    <w:link w:val="8"/>
    <w:qFormat/>
    <w:locked/>
    <w:uiPriority w:val="99"/>
    <w:rPr>
      <w:rFonts w:ascii="Calibri" w:hAnsi="Calibri" w:cs="Calibri"/>
      <w:b/>
      <w:bCs/>
      <w:kern w:val="2"/>
      <w:sz w:val="24"/>
      <w:szCs w:val="24"/>
    </w:rPr>
  </w:style>
  <w:style w:type="character" w:customStyle="1" w:styleId="62">
    <w:name w:val="标题 8 Char"/>
    <w:basedOn w:val="47"/>
    <w:link w:val="9"/>
    <w:qFormat/>
    <w:locked/>
    <w:uiPriority w:val="99"/>
    <w:rPr>
      <w:rFonts w:ascii="Arial" w:hAnsi="Arial" w:eastAsia="黑体" w:cs="Arial"/>
      <w:kern w:val="2"/>
      <w:sz w:val="24"/>
      <w:szCs w:val="24"/>
    </w:rPr>
  </w:style>
  <w:style w:type="character" w:customStyle="1" w:styleId="63">
    <w:name w:val="标题 9 Char"/>
    <w:basedOn w:val="47"/>
    <w:link w:val="10"/>
    <w:qFormat/>
    <w:locked/>
    <w:uiPriority w:val="99"/>
    <w:rPr>
      <w:rFonts w:ascii="Arial" w:hAnsi="Arial" w:eastAsia="黑体" w:cs="Arial"/>
      <w:kern w:val="2"/>
      <w:sz w:val="21"/>
      <w:szCs w:val="21"/>
    </w:rPr>
  </w:style>
  <w:style w:type="character" w:customStyle="1" w:styleId="64">
    <w:name w:val="文档结构图 Char"/>
    <w:basedOn w:val="47"/>
    <w:link w:val="16"/>
    <w:semiHidden/>
    <w:qFormat/>
    <w:locked/>
    <w:uiPriority w:val="99"/>
    <w:rPr>
      <w:kern w:val="2"/>
      <w:sz w:val="24"/>
      <w:szCs w:val="24"/>
      <w:shd w:val="clear" w:color="auto" w:fill="000080"/>
    </w:rPr>
  </w:style>
  <w:style w:type="character" w:customStyle="1" w:styleId="65">
    <w:name w:val="批注文字 Char"/>
    <w:basedOn w:val="47"/>
    <w:link w:val="17"/>
    <w:semiHidden/>
    <w:qFormat/>
    <w:locked/>
    <w:uiPriority w:val="99"/>
    <w:rPr>
      <w:kern w:val="2"/>
      <w:sz w:val="24"/>
      <w:szCs w:val="24"/>
    </w:rPr>
  </w:style>
  <w:style w:type="character" w:customStyle="1" w:styleId="66">
    <w:name w:val="正文文本 Char"/>
    <w:basedOn w:val="47"/>
    <w:link w:val="19"/>
    <w:qFormat/>
    <w:locked/>
    <w:uiPriority w:val="99"/>
    <w:rPr>
      <w:rFonts w:ascii="Calibri" w:hAnsi="Calibri" w:cs="Calibri"/>
      <w:kern w:val="2"/>
      <w:sz w:val="21"/>
      <w:szCs w:val="21"/>
    </w:rPr>
  </w:style>
  <w:style w:type="character" w:customStyle="1" w:styleId="67">
    <w:name w:val="日期 Char"/>
    <w:basedOn w:val="47"/>
    <w:link w:val="25"/>
    <w:qFormat/>
    <w:locked/>
    <w:uiPriority w:val="99"/>
    <w:rPr>
      <w:rFonts w:ascii="Calibri" w:hAnsi="Calibri" w:eastAsia="宋体" w:cs="Calibri"/>
      <w:kern w:val="2"/>
      <w:sz w:val="22"/>
      <w:szCs w:val="22"/>
    </w:rPr>
  </w:style>
  <w:style w:type="character" w:customStyle="1" w:styleId="68">
    <w:name w:val="尾注文本 Char"/>
    <w:basedOn w:val="47"/>
    <w:link w:val="26"/>
    <w:semiHidden/>
    <w:qFormat/>
    <w:uiPriority w:val="99"/>
    <w:rPr>
      <w:szCs w:val="21"/>
    </w:rPr>
  </w:style>
  <w:style w:type="character" w:customStyle="1" w:styleId="69">
    <w:name w:val="批注框文本 Char"/>
    <w:basedOn w:val="47"/>
    <w:link w:val="27"/>
    <w:qFormat/>
    <w:locked/>
    <w:uiPriority w:val="99"/>
    <w:rPr>
      <w:rFonts w:ascii="Calibri" w:hAnsi="Calibri" w:eastAsia="宋体" w:cs="Calibri"/>
      <w:kern w:val="2"/>
      <w:sz w:val="18"/>
      <w:szCs w:val="18"/>
    </w:rPr>
  </w:style>
  <w:style w:type="character" w:customStyle="1" w:styleId="70">
    <w:name w:val="页脚 Char"/>
    <w:basedOn w:val="47"/>
    <w:link w:val="28"/>
    <w:qFormat/>
    <w:locked/>
    <w:uiPriority w:val="99"/>
    <w:rPr>
      <w:kern w:val="2"/>
      <w:sz w:val="18"/>
      <w:szCs w:val="18"/>
    </w:rPr>
  </w:style>
  <w:style w:type="character" w:customStyle="1" w:styleId="71">
    <w:name w:val="页眉 Char"/>
    <w:basedOn w:val="47"/>
    <w:link w:val="29"/>
    <w:qFormat/>
    <w:locked/>
    <w:uiPriority w:val="99"/>
    <w:rPr>
      <w:kern w:val="2"/>
      <w:sz w:val="18"/>
      <w:szCs w:val="18"/>
    </w:rPr>
  </w:style>
  <w:style w:type="character" w:customStyle="1" w:styleId="72">
    <w:name w:val="脚注文本 Char"/>
    <w:basedOn w:val="47"/>
    <w:link w:val="35"/>
    <w:semiHidden/>
    <w:qFormat/>
    <w:locked/>
    <w:uiPriority w:val="99"/>
    <w:rPr>
      <w:rFonts w:ascii="宋体" w:cs="宋体"/>
      <w:kern w:val="2"/>
      <w:sz w:val="18"/>
      <w:szCs w:val="18"/>
    </w:rPr>
  </w:style>
  <w:style w:type="character" w:customStyle="1" w:styleId="73">
    <w:name w:val="标题 Char"/>
    <w:basedOn w:val="47"/>
    <w:link w:val="43"/>
    <w:qFormat/>
    <w:locked/>
    <w:uiPriority w:val="99"/>
    <w:rPr>
      <w:rFonts w:ascii="Arial" w:hAnsi="Arial" w:cs="Arial"/>
      <w:b/>
      <w:bCs/>
      <w:kern w:val="2"/>
      <w:sz w:val="32"/>
      <w:szCs w:val="32"/>
    </w:rPr>
  </w:style>
  <w:style w:type="character" w:customStyle="1" w:styleId="74">
    <w:name w:val="批注主题 Char"/>
    <w:basedOn w:val="65"/>
    <w:link w:val="44"/>
    <w:semiHidden/>
    <w:qFormat/>
    <w:locked/>
    <w:uiPriority w:val="99"/>
    <w:rPr>
      <w:b/>
      <w:bCs/>
      <w:kern w:val="2"/>
      <w:sz w:val="24"/>
      <w:szCs w:val="24"/>
    </w:rPr>
  </w:style>
  <w:style w:type="character" w:customStyle="1" w:styleId="75">
    <w:name w:val="段 Char"/>
    <w:link w:val="34"/>
    <w:qFormat/>
    <w:locked/>
    <w:uiPriority w:val="0"/>
    <w:rPr>
      <w:rFonts w:ascii="宋体"/>
      <w:sz w:val="21"/>
      <w:szCs w:val="21"/>
      <w:lang w:val="en-US" w:eastAsia="zh-CN" w:bidi="ar-SA"/>
    </w:rPr>
  </w:style>
  <w:style w:type="paragraph" w:customStyle="1" w:styleId="76">
    <w:name w:val="一级条标题"/>
    <w:next w:val="34"/>
    <w:qFormat/>
    <w:uiPriority w:val="0"/>
    <w:pPr>
      <w:numPr>
        <w:ilvl w:val="1"/>
        <w:numId w:val="2"/>
      </w:numPr>
      <w:spacing w:beforeLines="50" w:afterLines="50"/>
      <w:outlineLvl w:val="2"/>
    </w:pPr>
    <w:rPr>
      <w:rFonts w:ascii="黑体" w:hAnsi="Times New Roman" w:eastAsia="黑体" w:cs="黑体"/>
      <w:sz w:val="21"/>
      <w:szCs w:val="21"/>
      <w:lang w:val="en-US" w:eastAsia="zh-CN" w:bidi="ar-SA"/>
    </w:rPr>
  </w:style>
  <w:style w:type="paragraph" w:customStyle="1" w:styleId="77">
    <w:name w:val="标准书脚_奇数页"/>
    <w:qFormat/>
    <w:uiPriority w:val="99"/>
    <w:pPr>
      <w:spacing w:before="120"/>
      <w:ind w:right="198"/>
      <w:jc w:val="right"/>
    </w:pPr>
    <w:rPr>
      <w:rFonts w:ascii="宋体" w:hAnsi="Times New Roman" w:eastAsia="宋体" w:cs="宋体"/>
      <w:sz w:val="18"/>
      <w:szCs w:val="18"/>
      <w:lang w:val="en-US" w:eastAsia="zh-CN" w:bidi="ar-SA"/>
    </w:rPr>
  </w:style>
  <w:style w:type="paragraph" w:customStyle="1" w:styleId="78">
    <w:name w:val="标准书眉_奇数页"/>
    <w:next w:val="1"/>
    <w:qFormat/>
    <w:uiPriority w:val="99"/>
    <w:pPr>
      <w:tabs>
        <w:tab w:val="center" w:pos="4154"/>
        <w:tab w:val="right" w:pos="8306"/>
      </w:tabs>
      <w:spacing w:after="220"/>
      <w:jc w:val="right"/>
    </w:pPr>
    <w:rPr>
      <w:rFonts w:ascii="黑体" w:hAnsi="Times New Roman" w:eastAsia="黑体" w:cs="黑体"/>
      <w:sz w:val="21"/>
      <w:szCs w:val="21"/>
      <w:lang w:val="en-US" w:eastAsia="zh-CN" w:bidi="ar-SA"/>
    </w:rPr>
  </w:style>
  <w:style w:type="paragraph" w:customStyle="1" w:styleId="79">
    <w:name w:val="章标题"/>
    <w:next w:val="34"/>
    <w:qFormat/>
    <w:uiPriority w:val="0"/>
    <w:pPr>
      <w:numPr>
        <w:ilvl w:val="0"/>
        <w:numId w:val="2"/>
      </w:numPr>
      <w:spacing w:beforeLines="100" w:afterLines="100"/>
      <w:jc w:val="both"/>
      <w:outlineLvl w:val="1"/>
    </w:pPr>
    <w:rPr>
      <w:rFonts w:ascii="黑体" w:hAnsi="Times New Roman" w:eastAsia="黑体" w:cs="黑体"/>
      <w:sz w:val="21"/>
      <w:szCs w:val="21"/>
      <w:lang w:val="en-US" w:eastAsia="zh-CN" w:bidi="ar-SA"/>
    </w:rPr>
  </w:style>
  <w:style w:type="paragraph" w:customStyle="1" w:styleId="80">
    <w:name w:val="二级条标题"/>
    <w:basedOn w:val="76"/>
    <w:next w:val="34"/>
    <w:qFormat/>
    <w:uiPriority w:val="0"/>
    <w:pPr>
      <w:numPr>
        <w:ilvl w:val="2"/>
      </w:numPr>
      <w:spacing w:before="50" w:after="50"/>
      <w:outlineLvl w:val="3"/>
    </w:pPr>
    <w:rPr>
      <w:rFonts w:hAnsi="黑体"/>
    </w:rPr>
  </w:style>
  <w:style w:type="paragraph" w:customStyle="1" w:styleId="81">
    <w:name w:val="封面标准号2"/>
    <w:qFormat/>
    <w:uiPriority w:val="99"/>
    <w:pPr>
      <w:framePr w:w="9140" w:h="1242" w:hRule="exact" w:hSpace="284" w:wrap="around" w:vAnchor="page" w:hAnchor="page" w:x="1645" w:y="2910" w:anchorLock="1"/>
      <w:spacing w:before="357" w:line="280" w:lineRule="exact"/>
      <w:jc w:val="right"/>
    </w:pPr>
    <w:rPr>
      <w:rFonts w:ascii="黑体" w:hAnsi="Times New Roman" w:eastAsia="黑体" w:cs="黑体"/>
      <w:sz w:val="28"/>
      <w:szCs w:val="28"/>
      <w:lang w:val="en-US" w:eastAsia="zh-CN" w:bidi="ar-SA"/>
    </w:rPr>
  </w:style>
  <w:style w:type="paragraph" w:customStyle="1" w:styleId="82">
    <w:name w:val="列项——（一级）"/>
    <w:qFormat/>
    <w:uiPriority w:val="99"/>
    <w:pPr>
      <w:widowControl w:val="0"/>
      <w:numPr>
        <w:ilvl w:val="0"/>
        <w:numId w:val="3"/>
      </w:numPr>
      <w:jc w:val="both"/>
    </w:pPr>
    <w:rPr>
      <w:rFonts w:ascii="宋体" w:hAnsi="Times New Roman" w:eastAsia="宋体" w:cs="宋体"/>
      <w:sz w:val="21"/>
      <w:szCs w:val="21"/>
      <w:lang w:val="en-US" w:eastAsia="zh-CN" w:bidi="ar-SA"/>
    </w:rPr>
  </w:style>
  <w:style w:type="paragraph" w:customStyle="1" w:styleId="83">
    <w:name w:val="列项●（二级）"/>
    <w:qFormat/>
    <w:uiPriority w:val="99"/>
    <w:pPr>
      <w:numPr>
        <w:ilvl w:val="1"/>
        <w:numId w:val="3"/>
      </w:numPr>
      <w:tabs>
        <w:tab w:val="left" w:pos="840"/>
      </w:tabs>
      <w:jc w:val="both"/>
    </w:pPr>
    <w:rPr>
      <w:rFonts w:ascii="宋体" w:hAnsi="Times New Roman" w:eastAsia="宋体" w:cs="宋体"/>
      <w:sz w:val="21"/>
      <w:szCs w:val="21"/>
      <w:lang w:val="en-US" w:eastAsia="zh-CN" w:bidi="ar-SA"/>
    </w:rPr>
  </w:style>
  <w:style w:type="paragraph" w:customStyle="1" w:styleId="84">
    <w:name w:val="目次、标准名称标题"/>
    <w:basedOn w:val="1"/>
    <w:next w:val="34"/>
    <w:qFormat/>
    <w:uiPriority w:val="99"/>
    <w:pPr>
      <w:keepNext/>
      <w:pageBreakBefore/>
      <w:widowControl/>
      <w:shd w:val="clear" w:color="FFFFFF" w:fill="FFFFFF"/>
      <w:spacing w:before="640" w:after="560" w:line="460" w:lineRule="exact"/>
      <w:jc w:val="center"/>
      <w:outlineLvl w:val="0"/>
    </w:pPr>
    <w:rPr>
      <w:rFonts w:ascii="黑体" w:eastAsia="黑体" w:cs="黑体"/>
      <w:kern w:val="0"/>
      <w:sz w:val="32"/>
      <w:szCs w:val="32"/>
    </w:rPr>
  </w:style>
  <w:style w:type="paragraph" w:customStyle="1" w:styleId="85">
    <w:name w:val="三级条标题"/>
    <w:basedOn w:val="80"/>
    <w:next w:val="34"/>
    <w:qFormat/>
    <w:uiPriority w:val="0"/>
    <w:pPr>
      <w:numPr>
        <w:ilvl w:val="3"/>
      </w:numPr>
      <w:ind w:left="993"/>
      <w:outlineLvl w:val="4"/>
    </w:pPr>
  </w:style>
  <w:style w:type="paragraph" w:customStyle="1" w:styleId="86">
    <w:name w:val="示例"/>
    <w:next w:val="87"/>
    <w:qFormat/>
    <w:uiPriority w:val="99"/>
    <w:pPr>
      <w:widowControl w:val="0"/>
      <w:numPr>
        <w:ilvl w:val="0"/>
        <w:numId w:val="4"/>
      </w:numPr>
      <w:jc w:val="both"/>
    </w:pPr>
    <w:rPr>
      <w:rFonts w:ascii="宋体" w:hAnsi="Times New Roman" w:eastAsia="宋体" w:cs="宋体"/>
      <w:sz w:val="18"/>
      <w:szCs w:val="18"/>
      <w:lang w:val="en-US" w:eastAsia="zh-CN" w:bidi="ar-SA"/>
    </w:rPr>
  </w:style>
  <w:style w:type="paragraph" w:customStyle="1" w:styleId="87">
    <w:name w:val="示例内容"/>
    <w:qFormat/>
    <w:uiPriority w:val="99"/>
    <w:pPr>
      <w:ind w:firstLine="200" w:firstLineChars="200"/>
    </w:pPr>
    <w:rPr>
      <w:rFonts w:ascii="宋体" w:hAnsi="Times New Roman" w:eastAsia="宋体" w:cs="宋体"/>
      <w:sz w:val="18"/>
      <w:szCs w:val="18"/>
      <w:lang w:val="en-US" w:eastAsia="zh-CN" w:bidi="ar-SA"/>
    </w:rPr>
  </w:style>
  <w:style w:type="paragraph" w:customStyle="1" w:styleId="88">
    <w:name w:val="数字编号列项（二级）"/>
    <w:qFormat/>
    <w:uiPriority w:val="0"/>
    <w:pPr>
      <w:numPr>
        <w:ilvl w:val="1"/>
        <w:numId w:val="5"/>
      </w:numPr>
      <w:jc w:val="both"/>
    </w:pPr>
    <w:rPr>
      <w:rFonts w:ascii="宋体" w:hAnsi="Times New Roman" w:eastAsia="宋体" w:cs="宋体"/>
      <w:sz w:val="21"/>
      <w:szCs w:val="21"/>
      <w:lang w:val="en-US" w:eastAsia="zh-CN" w:bidi="ar-SA"/>
    </w:rPr>
  </w:style>
  <w:style w:type="paragraph" w:customStyle="1" w:styleId="89">
    <w:name w:val="四级条标题"/>
    <w:basedOn w:val="85"/>
    <w:next w:val="34"/>
    <w:qFormat/>
    <w:uiPriority w:val="0"/>
    <w:pPr>
      <w:numPr>
        <w:ilvl w:val="4"/>
      </w:numPr>
      <w:ind w:left="0"/>
      <w:outlineLvl w:val="5"/>
    </w:pPr>
  </w:style>
  <w:style w:type="paragraph" w:customStyle="1" w:styleId="90">
    <w:name w:val="五级条标题"/>
    <w:basedOn w:val="89"/>
    <w:next w:val="34"/>
    <w:qFormat/>
    <w:uiPriority w:val="0"/>
    <w:pPr>
      <w:numPr>
        <w:ilvl w:val="5"/>
      </w:numPr>
      <w:outlineLvl w:val="6"/>
    </w:pPr>
  </w:style>
  <w:style w:type="paragraph" w:customStyle="1" w:styleId="91">
    <w:name w:val="注："/>
    <w:next w:val="34"/>
    <w:qFormat/>
    <w:uiPriority w:val="99"/>
    <w:pPr>
      <w:widowControl w:val="0"/>
      <w:numPr>
        <w:ilvl w:val="0"/>
        <w:numId w:val="6"/>
      </w:numPr>
      <w:autoSpaceDE w:val="0"/>
      <w:autoSpaceDN w:val="0"/>
      <w:jc w:val="both"/>
    </w:pPr>
    <w:rPr>
      <w:rFonts w:ascii="宋体" w:hAnsi="Times New Roman" w:eastAsia="宋体" w:cs="宋体"/>
      <w:sz w:val="18"/>
      <w:szCs w:val="18"/>
      <w:lang w:val="en-US" w:eastAsia="zh-CN" w:bidi="ar-SA"/>
    </w:rPr>
  </w:style>
  <w:style w:type="paragraph" w:customStyle="1" w:styleId="92">
    <w:name w:val="注×："/>
    <w:qFormat/>
    <w:uiPriority w:val="99"/>
    <w:pPr>
      <w:widowControl w:val="0"/>
      <w:numPr>
        <w:ilvl w:val="0"/>
        <w:numId w:val="7"/>
      </w:numPr>
      <w:autoSpaceDE w:val="0"/>
      <w:autoSpaceDN w:val="0"/>
      <w:jc w:val="both"/>
    </w:pPr>
    <w:rPr>
      <w:rFonts w:ascii="宋体" w:hAnsi="Times New Roman" w:eastAsia="宋体" w:cs="宋体"/>
      <w:sz w:val="18"/>
      <w:szCs w:val="18"/>
      <w:lang w:val="en-US" w:eastAsia="zh-CN" w:bidi="ar-SA"/>
    </w:rPr>
  </w:style>
  <w:style w:type="paragraph" w:customStyle="1" w:styleId="93">
    <w:name w:val="字母编号列项（一级）"/>
    <w:qFormat/>
    <w:uiPriority w:val="0"/>
    <w:pPr>
      <w:numPr>
        <w:ilvl w:val="0"/>
        <w:numId w:val="8"/>
      </w:numPr>
      <w:jc w:val="both"/>
    </w:pPr>
    <w:rPr>
      <w:rFonts w:ascii="宋体" w:hAnsi="Times New Roman" w:eastAsia="宋体" w:cs="宋体"/>
      <w:sz w:val="21"/>
      <w:szCs w:val="21"/>
      <w:lang w:val="en-US" w:eastAsia="zh-CN" w:bidi="ar-SA"/>
    </w:rPr>
  </w:style>
  <w:style w:type="paragraph" w:customStyle="1" w:styleId="94">
    <w:name w:val="列项◆（三级）"/>
    <w:basedOn w:val="1"/>
    <w:qFormat/>
    <w:uiPriority w:val="99"/>
    <w:pPr>
      <w:numPr>
        <w:ilvl w:val="2"/>
        <w:numId w:val="3"/>
      </w:numPr>
    </w:pPr>
    <w:rPr>
      <w:rFonts w:ascii="宋体" w:cs="宋体"/>
    </w:rPr>
  </w:style>
  <w:style w:type="paragraph" w:customStyle="1" w:styleId="95">
    <w:name w:val="编号列项（三级）"/>
    <w:qFormat/>
    <w:uiPriority w:val="99"/>
    <w:pPr>
      <w:numPr>
        <w:ilvl w:val="2"/>
        <w:numId w:val="5"/>
      </w:numPr>
    </w:pPr>
    <w:rPr>
      <w:rFonts w:ascii="宋体" w:hAnsi="Times New Roman" w:eastAsia="宋体" w:cs="宋体"/>
      <w:sz w:val="21"/>
      <w:szCs w:val="21"/>
      <w:lang w:val="en-US" w:eastAsia="zh-CN" w:bidi="ar-SA"/>
    </w:rPr>
  </w:style>
  <w:style w:type="paragraph" w:customStyle="1" w:styleId="96">
    <w:name w:val="示例×："/>
    <w:basedOn w:val="79"/>
    <w:qFormat/>
    <w:uiPriority w:val="99"/>
    <w:pPr>
      <w:numPr>
        <w:numId w:val="9"/>
      </w:numPr>
      <w:spacing w:beforeLines="0" w:afterLines="0"/>
      <w:outlineLvl w:val="9"/>
    </w:pPr>
    <w:rPr>
      <w:rFonts w:ascii="宋体" w:eastAsia="宋体" w:cs="宋体"/>
      <w:sz w:val="18"/>
      <w:szCs w:val="18"/>
    </w:rPr>
  </w:style>
  <w:style w:type="paragraph" w:customStyle="1" w:styleId="97">
    <w:name w:val="二级无"/>
    <w:basedOn w:val="80"/>
    <w:qFormat/>
    <w:uiPriority w:val="0"/>
    <w:pPr>
      <w:spacing w:beforeLines="0" w:afterLines="0"/>
    </w:pPr>
    <w:rPr>
      <w:rFonts w:ascii="宋体" w:eastAsia="宋体" w:cs="宋体"/>
    </w:rPr>
  </w:style>
  <w:style w:type="paragraph" w:customStyle="1" w:styleId="98">
    <w:name w:val="注：（正文）"/>
    <w:basedOn w:val="91"/>
    <w:next w:val="34"/>
    <w:qFormat/>
    <w:uiPriority w:val="99"/>
  </w:style>
  <w:style w:type="paragraph" w:customStyle="1" w:styleId="99">
    <w:name w:val="注×：（正文）"/>
    <w:qFormat/>
    <w:uiPriority w:val="99"/>
    <w:pPr>
      <w:numPr>
        <w:ilvl w:val="0"/>
        <w:numId w:val="10"/>
      </w:numPr>
      <w:jc w:val="both"/>
    </w:pPr>
    <w:rPr>
      <w:rFonts w:ascii="宋体" w:hAnsi="Times New Roman" w:eastAsia="宋体" w:cs="宋体"/>
      <w:sz w:val="18"/>
      <w:szCs w:val="18"/>
      <w:lang w:val="en-US" w:eastAsia="zh-CN" w:bidi="ar-SA"/>
    </w:rPr>
  </w:style>
  <w:style w:type="paragraph" w:customStyle="1" w:styleId="100">
    <w:name w:val="标准标志"/>
    <w:next w:val="1"/>
    <w:qFormat/>
    <w:uiPriority w:val="99"/>
    <w:pPr>
      <w:framePr w:w="2546" w:h="1389" w:hRule="exact" w:hSpace="181" w:vSpace="181" w:wrap="around" w:vAnchor="margin" w:hAnchor="margin" w:x="6522" w:y="398" w:anchorLock="1"/>
      <w:shd w:val="solid" w:color="FFFFFF" w:fill="FFFFFF"/>
      <w:spacing w:line="240" w:lineRule="atLeast"/>
      <w:jc w:val="right"/>
    </w:pPr>
    <w:rPr>
      <w:rFonts w:ascii="Times New Roman" w:hAnsi="Times New Roman" w:eastAsia="宋体" w:cs="Times New Roman"/>
      <w:b/>
      <w:bCs/>
      <w:w w:val="170"/>
      <w:sz w:val="96"/>
      <w:szCs w:val="96"/>
      <w:lang w:val="en-US" w:eastAsia="zh-CN" w:bidi="ar-SA"/>
    </w:rPr>
  </w:style>
  <w:style w:type="paragraph" w:customStyle="1" w:styleId="101">
    <w:name w:val="标准称谓"/>
    <w:next w:val="1"/>
    <w:qFormat/>
    <w:uiPriority w:val="99"/>
    <w:pPr>
      <w:framePr w:w="9639" w:h="624" w:hRule="exact" w:hSpace="181" w:vSpace="181" w:wrap="around" w:vAnchor="page" w:hAnchor="page" w:x="1419" w:y="2286" w:anchorLock="1"/>
      <w:widowControl w:val="0"/>
      <w:kinsoku w:val="0"/>
      <w:overflowPunct w:val="0"/>
      <w:autoSpaceDE w:val="0"/>
      <w:autoSpaceDN w:val="0"/>
      <w:spacing w:line="240" w:lineRule="atLeast"/>
      <w:jc w:val="distribute"/>
    </w:pPr>
    <w:rPr>
      <w:rFonts w:ascii="宋体" w:hAnsi="Times New Roman" w:eastAsia="宋体" w:cs="宋体"/>
      <w:b/>
      <w:bCs/>
      <w:spacing w:val="20"/>
      <w:w w:val="148"/>
      <w:sz w:val="48"/>
      <w:szCs w:val="48"/>
      <w:lang w:val="en-US" w:eastAsia="zh-CN" w:bidi="ar-SA"/>
    </w:rPr>
  </w:style>
  <w:style w:type="paragraph" w:customStyle="1" w:styleId="102">
    <w:name w:val="标准书脚_偶数页"/>
    <w:qFormat/>
    <w:uiPriority w:val="99"/>
    <w:pPr>
      <w:spacing w:before="120"/>
      <w:ind w:left="221"/>
    </w:pPr>
    <w:rPr>
      <w:rFonts w:ascii="宋体" w:hAnsi="Times New Roman" w:eastAsia="宋体" w:cs="宋体"/>
      <w:sz w:val="18"/>
      <w:szCs w:val="18"/>
      <w:lang w:val="en-US" w:eastAsia="zh-CN" w:bidi="ar-SA"/>
    </w:rPr>
  </w:style>
  <w:style w:type="paragraph" w:customStyle="1" w:styleId="103">
    <w:name w:val="标准书眉_偶数页"/>
    <w:basedOn w:val="78"/>
    <w:next w:val="1"/>
    <w:qFormat/>
    <w:uiPriority w:val="99"/>
    <w:pPr>
      <w:jc w:val="left"/>
    </w:pPr>
  </w:style>
  <w:style w:type="paragraph" w:customStyle="1" w:styleId="104">
    <w:name w:val="标准书眉一"/>
    <w:qFormat/>
    <w:uiPriority w:val="99"/>
    <w:pPr>
      <w:jc w:val="both"/>
    </w:pPr>
    <w:rPr>
      <w:rFonts w:ascii="Times New Roman" w:hAnsi="Times New Roman" w:eastAsia="宋体" w:cs="Times New Roman"/>
      <w:lang w:val="en-US" w:eastAsia="zh-CN" w:bidi="ar-SA"/>
    </w:rPr>
  </w:style>
  <w:style w:type="paragraph" w:customStyle="1" w:styleId="105">
    <w:name w:val="参考文献"/>
    <w:basedOn w:val="1"/>
    <w:next w:val="34"/>
    <w:qFormat/>
    <w:uiPriority w:val="99"/>
    <w:pPr>
      <w:keepNext/>
      <w:pageBreakBefore/>
      <w:widowControl/>
      <w:shd w:val="clear" w:color="FFFFFF" w:fill="FFFFFF"/>
      <w:spacing w:before="640" w:after="200"/>
      <w:jc w:val="center"/>
      <w:outlineLvl w:val="0"/>
    </w:pPr>
    <w:rPr>
      <w:rFonts w:ascii="黑体" w:eastAsia="黑体" w:cs="黑体"/>
      <w:kern w:val="0"/>
    </w:rPr>
  </w:style>
  <w:style w:type="paragraph" w:customStyle="1" w:styleId="106">
    <w:name w:val="参考文献、索引标题"/>
    <w:basedOn w:val="1"/>
    <w:next w:val="34"/>
    <w:qFormat/>
    <w:uiPriority w:val="99"/>
    <w:pPr>
      <w:keepNext/>
      <w:pageBreakBefore/>
      <w:widowControl/>
      <w:shd w:val="clear" w:color="FFFFFF" w:fill="FFFFFF"/>
      <w:spacing w:before="640" w:after="200"/>
      <w:jc w:val="center"/>
      <w:outlineLvl w:val="0"/>
    </w:pPr>
    <w:rPr>
      <w:rFonts w:ascii="黑体" w:eastAsia="黑体" w:cs="黑体"/>
      <w:kern w:val="0"/>
    </w:rPr>
  </w:style>
  <w:style w:type="character" w:customStyle="1" w:styleId="107">
    <w:name w:val="发布"/>
    <w:qFormat/>
    <w:uiPriority w:val="99"/>
    <w:rPr>
      <w:rFonts w:ascii="黑体" w:eastAsia="黑体" w:cs="黑体"/>
      <w:spacing w:val="85"/>
      <w:w w:val="100"/>
      <w:position w:val="3"/>
      <w:sz w:val="28"/>
      <w:szCs w:val="28"/>
    </w:rPr>
  </w:style>
  <w:style w:type="paragraph" w:customStyle="1" w:styleId="108">
    <w:name w:val="发布部门"/>
    <w:next w:val="34"/>
    <w:qFormat/>
    <w:uiPriority w:val="99"/>
    <w:pPr>
      <w:framePr w:w="7938" w:h="1134" w:hRule="exact" w:hSpace="125" w:vSpace="181" w:wrap="around" w:vAnchor="page" w:hAnchor="page" w:x="2150" w:y="14630" w:anchorLock="1"/>
      <w:jc w:val="center"/>
    </w:pPr>
    <w:rPr>
      <w:rFonts w:ascii="宋体" w:hAnsi="Times New Roman" w:eastAsia="宋体" w:cs="宋体"/>
      <w:b/>
      <w:bCs/>
      <w:spacing w:val="20"/>
      <w:w w:val="135"/>
      <w:sz w:val="28"/>
      <w:szCs w:val="28"/>
      <w:lang w:val="en-US" w:eastAsia="zh-CN" w:bidi="ar-SA"/>
    </w:rPr>
  </w:style>
  <w:style w:type="paragraph" w:customStyle="1" w:styleId="109">
    <w:name w:val="发布日期"/>
    <w:qFormat/>
    <w:uiPriority w:val="99"/>
    <w:pPr>
      <w:framePr w:w="3997" w:h="471" w:hRule="exact" w:vSpace="181" w:wrap="around" w:vAnchor="margin" w:hAnchor="page" w:x="7089" w:y="14097" w:anchorLock="1"/>
    </w:pPr>
    <w:rPr>
      <w:rFonts w:ascii="Times New Roman" w:hAnsi="Times New Roman" w:eastAsia="黑体" w:cs="Times New Roman"/>
      <w:sz w:val="28"/>
      <w:szCs w:val="28"/>
      <w:lang w:val="en-US" w:eastAsia="zh-CN" w:bidi="ar-SA"/>
    </w:rPr>
  </w:style>
  <w:style w:type="paragraph" w:customStyle="1" w:styleId="110">
    <w:name w:val="封面标准代替信息"/>
    <w:qFormat/>
    <w:uiPriority w:val="99"/>
    <w:pPr>
      <w:framePr w:w="9140" w:h="1242" w:hRule="exact" w:hSpace="284" w:wrap="around" w:vAnchor="page" w:hAnchor="page" w:x="1645" w:y="2910" w:anchorLock="1"/>
      <w:spacing w:before="57" w:line="280" w:lineRule="exact"/>
      <w:jc w:val="right"/>
    </w:pPr>
    <w:rPr>
      <w:rFonts w:ascii="宋体" w:hAnsi="Times New Roman" w:eastAsia="宋体" w:cs="宋体"/>
      <w:sz w:val="21"/>
      <w:szCs w:val="21"/>
      <w:lang w:val="en-US" w:eastAsia="zh-CN" w:bidi="ar-SA"/>
    </w:rPr>
  </w:style>
  <w:style w:type="paragraph" w:customStyle="1" w:styleId="111">
    <w:name w:val="封面标准号1"/>
    <w:qFormat/>
    <w:uiPriority w:val="99"/>
    <w:pPr>
      <w:widowControl w:val="0"/>
      <w:kinsoku w:val="0"/>
      <w:overflowPunct w:val="0"/>
      <w:autoSpaceDE w:val="0"/>
      <w:autoSpaceDN w:val="0"/>
      <w:spacing w:before="308"/>
      <w:jc w:val="right"/>
      <w:textAlignment w:val="center"/>
    </w:pPr>
    <w:rPr>
      <w:rFonts w:ascii="Times New Roman" w:hAnsi="Times New Roman" w:eastAsia="宋体" w:cs="Times New Roman"/>
      <w:sz w:val="28"/>
      <w:szCs w:val="28"/>
      <w:lang w:val="en-US" w:eastAsia="zh-CN" w:bidi="ar-SA"/>
    </w:rPr>
  </w:style>
  <w:style w:type="paragraph" w:customStyle="1" w:styleId="112">
    <w:name w:val="封面标准名称"/>
    <w:qFormat/>
    <w:uiPriority w:val="99"/>
    <w:pPr>
      <w:framePr w:w="9639" w:h="6917" w:hRule="exact" w:wrap="around" w:vAnchor="page" w:hAnchor="page" w:xAlign="center" w:y="6408" w:anchorLock="1"/>
      <w:widowControl w:val="0"/>
      <w:spacing w:line="680" w:lineRule="exact"/>
      <w:jc w:val="center"/>
      <w:textAlignment w:val="center"/>
    </w:pPr>
    <w:rPr>
      <w:rFonts w:ascii="黑体" w:hAnsi="Times New Roman" w:eastAsia="黑体" w:cs="黑体"/>
      <w:sz w:val="52"/>
      <w:szCs w:val="52"/>
      <w:lang w:val="en-US" w:eastAsia="zh-CN" w:bidi="ar-SA"/>
    </w:rPr>
  </w:style>
  <w:style w:type="paragraph" w:customStyle="1" w:styleId="113">
    <w:name w:val="封面标准英文名称"/>
    <w:basedOn w:val="112"/>
    <w:qFormat/>
    <w:uiPriority w:val="99"/>
    <w:pPr>
      <w:spacing w:before="370" w:line="400" w:lineRule="exact"/>
    </w:pPr>
    <w:rPr>
      <w:rFonts w:ascii="Times New Roman" w:cs="Times New Roman"/>
      <w:sz w:val="28"/>
      <w:szCs w:val="28"/>
    </w:rPr>
  </w:style>
  <w:style w:type="paragraph" w:customStyle="1" w:styleId="114">
    <w:name w:val="封面一致性程度标识"/>
    <w:basedOn w:val="113"/>
    <w:qFormat/>
    <w:uiPriority w:val="99"/>
    <w:pPr>
      <w:spacing w:before="440"/>
    </w:pPr>
    <w:rPr>
      <w:rFonts w:ascii="宋体" w:eastAsia="宋体" w:cs="宋体"/>
    </w:rPr>
  </w:style>
  <w:style w:type="paragraph" w:customStyle="1" w:styleId="115">
    <w:name w:val="封面标准文稿类别"/>
    <w:basedOn w:val="114"/>
    <w:qFormat/>
    <w:uiPriority w:val="99"/>
    <w:pPr>
      <w:spacing w:after="160" w:line="240" w:lineRule="auto"/>
    </w:pPr>
    <w:rPr>
      <w:sz w:val="24"/>
      <w:szCs w:val="24"/>
    </w:rPr>
  </w:style>
  <w:style w:type="paragraph" w:customStyle="1" w:styleId="116">
    <w:name w:val="封面标准文稿编辑信息"/>
    <w:basedOn w:val="115"/>
    <w:qFormat/>
    <w:uiPriority w:val="99"/>
    <w:pPr>
      <w:spacing w:before="180" w:line="180" w:lineRule="exact"/>
    </w:pPr>
    <w:rPr>
      <w:sz w:val="21"/>
      <w:szCs w:val="21"/>
    </w:rPr>
  </w:style>
  <w:style w:type="paragraph" w:customStyle="1" w:styleId="117">
    <w:name w:val="封面正文"/>
    <w:qFormat/>
    <w:uiPriority w:val="99"/>
    <w:pPr>
      <w:jc w:val="both"/>
    </w:pPr>
    <w:rPr>
      <w:rFonts w:ascii="Times New Roman" w:hAnsi="Times New Roman" w:eastAsia="宋体" w:cs="Times New Roman"/>
      <w:lang w:val="en-US" w:eastAsia="zh-CN" w:bidi="ar-SA"/>
    </w:rPr>
  </w:style>
  <w:style w:type="paragraph" w:customStyle="1" w:styleId="118">
    <w:name w:val="附录标识"/>
    <w:basedOn w:val="1"/>
    <w:next w:val="34"/>
    <w:qFormat/>
    <w:uiPriority w:val="0"/>
    <w:pPr>
      <w:keepNext/>
      <w:widowControl/>
      <w:numPr>
        <w:ilvl w:val="0"/>
        <w:numId w:val="11"/>
      </w:numPr>
      <w:shd w:val="clear" w:color="FFFFFF" w:fill="FFFFFF"/>
      <w:tabs>
        <w:tab w:val="left" w:pos="6405"/>
      </w:tabs>
      <w:spacing w:before="640" w:after="280"/>
      <w:jc w:val="center"/>
      <w:outlineLvl w:val="0"/>
    </w:pPr>
    <w:rPr>
      <w:rFonts w:ascii="黑体" w:eastAsia="黑体" w:cs="黑体"/>
      <w:kern w:val="0"/>
    </w:rPr>
  </w:style>
  <w:style w:type="paragraph" w:customStyle="1" w:styleId="119">
    <w:name w:val="附录标题"/>
    <w:basedOn w:val="34"/>
    <w:next w:val="34"/>
    <w:qFormat/>
    <w:uiPriority w:val="99"/>
    <w:pPr>
      <w:ind w:firstLine="0" w:firstLineChars="0"/>
      <w:jc w:val="center"/>
    </w:pPr>
    <w:rPr>
      <w:rFonts w:ascii="黑体" w:eastAsia="黑体" w:cs="黑体"/>
    </w:rPr>
  </w:style>
  <w:style w:type="paragraph" w:customStyle="1" w:styleId="120">
    <w:name w:val="附录表标号"/>
    <w:basedOn w:val="1"/>
    <w:next w:val="34"/>
    <w:qFormat/>
    <w:uiPriority w:val="0"/>
    <w:pPr>
      <w:numPr>
        <w:ilvl w:val="0"/>
        <w:numId w:val="12"/>
      </w:numPr>
      <w:tabs>
        <w:tab w:val="clear" w:pos="0"/>
      </w:tabs>
      <w:spacing w:line="14" w:lineRule="exact"/>
      <w:ind w:left="811" w:hanging="448"/>
      <w:jc w:val="center"/>
      <w:outlineLvl w:val="0"/>
    </w:pPr>
    <w:rPr>
      <w:color w:val="FFFFFF"/>
    </w:rPr>
  </w:style>
  <w:style w:type="paragraph" w:customStyle="1" w:styleId="121">
    <w:name w:val="附录表标题"/>
    <w:basedOn w:val="1"/>
    <w:next w:val="34"/>
    <w:qFormat/>
    <w:uiPriority w:val="0"/>
    <w:pPr>
      <w:numPr>
        <w:ilvl w:val="1"/>
        <w:numId w:val="12"/>
      </w:numPr>
      <w:spacing w:beforeLines="50" w:afterLines="50"/>
      <w:jc w:val="center"/>
    </w:pPr>
    <w:rPr>
      <w:rFonts w:ascii="黑体" w:eastAsia="黑体" w:cs="黑体"/>
    </w:rPr>
  </w:style>
  <w:style w:type="paragraph" w:customStyle="1" w:styleId="122">
    <w:name w:val="附录二级条标题"/>
    <w:basedOn w:val="1"/>
    <w:next w:val="34"/>
    <w:qFormat/>
    <w:uiPriority w:val="99"/>
    <w:pPr>
      <w:widowControl/>
      <w:numPr>
        <w:ilvl w:val="3"/>
        <w:numId w:val="11"/>
      </w:numPr>
      <w:wordWrap w:val="0"/>
      <w:overflowPunct w:val="0"/>
      <w:autoSpaceDE w:val="0"/>
      <w:autoSpaceDN w:val="0"/>
      <w:spacing w:beforeLines="50" w:afterLines="50"/>
      <w:textAlignment w:val="baseline"/>
      <w:outlineLvl w:val="3"/>
    </w:pPr>
    <w:rPr>
      <w:rFonts w:ascii="黑体" w:eastAsia="黑体" w:cs="黑体"/>
      <w:kern w:val="21"/>
    </w:rPr>
  </w:style>
  <w:style w:type="paragraph" w:customStyle="1" w:styleId="123">
    <w:name w:val="附录二级无"/>
    <w:basedOn w:val="122"/>
    <w:qFormat/>
    <w:uiPriority w:val="99"/>
    <w:pPr>
      <w:spacing w:beforeLines="0" w:afterLines="0"/>
    </w:pPr>
    <w:rPr>
      <w:rFonts w:ascii="宋体" w:eastAsia="宋体" w:cs="宋体"/>
    </w:rPr>
  </w:style>
  <w:style w:type="paragraph" w:customStyle="1" w:styleId="124">
    <w:name w:val="附录公式"/>
    <w:basedOn w:val="34"/>
    <w:next w:val="34"/>
    <w:link w:val="125"/>
    <w:qFormat/>
    <w:uiPriority w:val="99"/>
  </w:style>
  <w:style w:type="character" w:customStyle="1" w:styleId="125">
    <w:name w:val="附录公式 Char"/>
    <w:basedOn w:val="75"/>
    <w:link w:val="124"/>
    <w:qFormat/>
    <w:locked/>
    <w:uiPriority w:val="99"/>
    <w:rPr>
      <w:rFonts w:ascii="宋体"/>
      <w:sz w:val="21"/>
      <w:szCs w:val="21"/>
      <w:lang w:val="en-US" w:eastAsia="zh-CN" w:bidi="ar-SA"/>
    </w:rPr>
  </w:style>
  <w:style w:type="paragraph" w:customStyle="1" w:styleId="126">
    <w:name w:val="附录公式编号制表符"/>
    <w:basedOn w:val="1"/>
    <w:next w:val="34"/>
    <w:qFormat/>
    <w:uiPriority w:val="99"/>
    <w:pPr>
      <w:widowControl/>
      <w:tabs>
        <w:tab w:val="center" w:pos="4201"/>
        <w:tab w:val="right" w:leader="dot" w:pos="9298"/>
      </w:tabs>
      <w:autoSpaceDE w:val="0"/>
      <w:autoSpaceDN w:val="0"/>
    </w:pPr>
    <w:rPr>
      <w:rFonts w:ascii="宋体" w:cs="宋体"/>
      <w:kern w:val="0"/>
    </w:rPr>
  </w:style>
  <w:style w:type="paragraph" w:customStyle="1" w:styleId="127">
    <w:name w:val="附录三级条标题"/>
    <w:basedOn w:val="122"/>
    <w:next w:val="34"/>
    <w:qFormat/>
    <w:uiPriority w:val="0"/>
    <w:pPr>
      <w:numPr>
        <w:ilvl w:val="4"/>
      </w:numPr>
      <w:outlineLvl w:val="4"/>
    </w:pPr>
  </w:style>
  <w:style w:type="paragraph" w:customStyle="1" w:styleId="128">
    <w:name w:val="附录三级无"/>
    <w:basedOn w:val="127"/>
    <w:qFormat/>
    <w:uiPriority w:val="99"/>
    <w:pPr>
      <w:spacing w:beforeLines="0" w:afterLines="0"/>
    </w:pPr>
    <w:rPr>
      <w:rFonts w:ascii="宋体" w:eastAsia="宋体" w:cs="宋体"/>
    </w:rPr>
  </w:style>
  <w:style w:type="paragraph" w:customStyle="1" w:styleId="129">
    <w:name w:val="附录数字编号列项（二级）"/>
    <w:qFormat/>
    <w:uiPriority w:val="99"/>
    <w:pPr>
      <w:numPr>
        <w:ilvl w:val="1"/>
        <w:numId w:val="13"/>
      </w:numPr>
    </w:pPr>
    <w:rPr>
      <w:rFonts w:ascii="宋体" w:hAnsi="Times New Roman" w:eastAsia="宋体" w:cs="宋体"/>
      <w:sz w:val="21"/>
      <w:szCs w:val="21"/>
      <w:lang w:val="en-US" w:eastAsia="zh-CN" w:bidi="ar-SA"/>
    </w:rPr>
  </w:style>
  <w:style w:type="paragraph" w:customStyle="1" w:styleId="130">
    <w:name w:val="附录四级条标题"/>
    <w:basedOn w:val="127"/>
    <w:next w:val="34"/>
    <w:qFormat/>
    <w:uiPriority w:val="0"/>
    <w:pPr>
      <w:numPr>
        <w:ilvl w:val="5"/>
      </w:numPr>
      <w:outlineLvl w:val="5"/>
    </w:pPr>
  </w:style>
  <w:style w:type="paragraph" w:customStyle="1" w:styleId="131">
    <w:name w:val="附录四级无"/>
    <w:basedOn w:val="130"/>
    <w:qFormat/>
    <w:uiPriority w:val="99"/>
    <w:pPr>
      <w:spacing w:beforeLines="0" w:afterLines="0"/>
    </w:pPr>
    <w:rPr>
      <w:rFonts w:ascii="宋体" w:eastAsia="宋体" w:cs="宋体"/>
    </w:rPr>
  </w:style>
  <w:style w:type="paragraph" w:customStyle="1" w:styleId="132">
    <w:name w:val="附录图标号"/>
    <w:basedOn w:val="1"/>
    <w:qFormat/>
    <w:uiPriority w:val="0"/>
    <w:pPr>
      <w:keepNext/>
      <w:pageBreakBefore/>
      <w:widowControl/>
      <w:numPr>
        <w:ilvl w:val="0"/>
        <w:numId w:val="14"/>
      </w:numPr>
      <w:spacing w:line="14" w:lineRule="exact"/>
      <w:ind w:left="0" w:firstLine="363"/>
      <w:jc w:val="center"/>
      <w:outlineLvl w:val="0"/>
    </w:pPr>
    <w:rPr>
      <w:color w:val="FFFFFF"/>
    </w:rPr>
  </w:style>
  <w:style w:type="paragraph" w:customStyle="1" w:styleId="133">
    <w:name w:val="附录图标题"/>
    <w:basedOn w:val="1"/>
    <w:next w:val="34"/>
    <w:qFormat/>
    <w:uiPriority w:val="0"/>
    <w:pPr>
      <w:numPr>
        <w:ilvl w:val="1"/>
        <w:numId w:val="14"/>
      </w:numPr>
      <w:tabs>
        <w:tab w:val="left" w:pos="363"/>
      </w:tabs>
      <w:spacing w:beforeLines="50" w:afterLines="50"/>
      <w:ind w:left="0" w:firstLine="0"/>
      <w:jc w:val="center"/>
    </w:pPr>
    <w:rPr>
      <w:rFonts w:ascii="黑体" w:eastAsia="黑体" w:cs="黑体"/>
    </w:rPr>
  </w:style>
  <w:style w:type="paragraph" w:customStyle="1" w:styleId="134">
    <w:name w:val="附录五级条标题"/>
    <w:basedOn w:val="130"/>
    <w:next w:val="34"/>
    <w:qFormat/>
    <w:uiPriority w:val="0"/>
    <w:pPr>
      <w:numPr>
        <w:ilvl w:val="6"/>
      </w:numPr>
      <w:outlineLvl w:val="6"/>
    </w:pPr>
  </w:style>
  <w:style w:type="paragraph" w:customStyle="1" w:styleId="135">
    <w:name w:val="附录五级无"/>
    <w:basedOn w:val="134"/>
    <w:qFormat/>
    <w:uiPriority w:val="99"/>
    <w:pPr>
      <w:spacing w:beforeLines="0" w:afterLines="0"/>
    </w:pPr>
    <w:rPr>
      <w:rFonts w:ascii="宋体" w:eastAsia="宋体" w:cs="宋体"/>
    </w:rPr>
  </w:style>
  <w:style w:type="paragraph" w:customStyle="1" w:styleId="136">
    <w:name w:val="附录章标题"/>
    <w:next w:val="34"/>
    <w:qFormat/>
    <w:uiPriority w:val="99"/>
    <w:pPr>
      <w:numPr>
        <w:ilvl w:val="1"/>
        <w:numId w:val="11"/>
      </w:numPr>
      <w:wordWrap w:val="0"/>
      <w:overflowPunct w:val="0"/>
      <w:autoSpaceDE w:val="0"/>
      <w:spacing w:beforeLines="100" w:afterLines="100"/>
      <w:jc w:val="both"/>
      <w:textAlignment w:val="baseline"/>
      <w:outlineLvl w:val="1"/>
    </w:pPr>
    <w:rPr>
      <w:rFonts w:ascii="黑体" w:hAnsi="Times New Roman" w:eastAsia="黑体" w:cs="黑体"/>
      <w:kern w:val="21"/>
      <w:sz w:val="21"/>
      <w:szCs w:val="21"/>
      <w:lang w:val="en-US" w:eastAsia="zh-CN" w:bidi="ar-SA"/>
    </w:rPr>
  </w:style>
  <w:style w:type="paragraph" w:customStyle="1" w:styleId="137">
    <w:name w:val="附录一级条标题"/>
    <w:basedOn w:val="136"/>
    <w:next w:val="34"/>
    <w:qFormat/>
    <w:uiPriority w:val="0"/>
    <w:pPr>
      <w:numPr>
        <w:ilvl w:val="2"/>
      </w:numPr>
      <w:autoSpaceDN w:val="0"/>
      <w:spacing w:beforeLines="50" w:afterLines="50"/>
      <w:ind w:left="0"/>
      <w:outlineLvl w:val="2"/>
    </w:pPr>
  </w:style>
  <w:style w:type="paragraph" w:customStyle="1" w:styleId="138">
    <w:name w:val="附录一级无"/>
    <w:basedOn w:val="137"/>
    <w:qFormat/>
    <w:uiPriority w:val="99"/>
    <w:pPr>
      <w:spacing w:beforeLines="0" w:afterLines="0"/>
    </w:pPr>
    <w:rPr>
      <w:rFonts w:ascii="宋体" w:eastAsia="宋体" w:cs="宋体"/>
    </w:rPr>
  </w:style>
  <w:style w:type="paragraph" w:customStyle="1" w:styleId="139">
    <w:name w:val="附录字母编号列项（一级）"/>
    <w:qFormat/>
    <w:uiPriority w:val="99"/>
    <w:pPr>
      <w:numPr>
        <w:ilvl w:val="0"/>
        <w:numId w:val="13"/>
      </w:numPr>
    </w:pPr>
    <w:rPr>
      <w:rFonts w:ascii="宋体" w:hAnsi="Times New Roman" w:eastAsia="宋体" w:cs="宋体"/>
      <w:sz w:val="21"/>
      <w:szCs w:val="21"/>
      <w:lang w:val="en-US" w:eastAsia="zh-CN" w:bidi="ar-SA"/>
    </w:rPr>
  </w:style>
  <w:style w:type="paragraph" w:customStyle="1" w:styleId="140">
    <w:name w:val="列项说明"/>
    <w:basedOn w:val="1"/>
    <w:qFormat/>
    <w:uiPriority w:val="99"/>
    <w:pPr>
      <w:adjustRightInd w:val="0"/>
      <w:spacing w:line="320" w:lineRule="exact"/>
      <w:ind w:left="400" w:leftChars="200" w:hanging="200" w:hangingChars="200"/>
      <w:jc w:val="left"/>
      <w:textAlignment w:val="baseline"/>
    </w:pPr>
    <w:rPr>
      <w:rFonts w:ascii="宋体" w:cs="宋体"/>
      <w:kern w:val="0"/>
    </w:rPr>
  </w:style>
  <w:style w:type="paragraph" w:customStyle="1" w:styleId="141">
    <w:name w:val="列项说明数字编号"/>
    <w:qFormat/>
    <w:uiPriority w:val="99"/>
    <w:pPr>
      <w:ind w:left="600" w:leftChars="400" w:hanging="200" w:hangingChars="200"/>
    </w:pPr>
    <w:rPr>
      <w:rFonts w:ascii="宋体" w:hAnsi="Times New Roman" w:eastAsia="宋体" w:cs="宋体"/>
      <w:sz w:val="21"/>
      <w:szCs w:val="21"/>
      <w:lang w:val="en-US" w:eastAsia="zh-CN" w:bidi="ar-SA"/>
    </w:rPr>
  </w:style>
  <w:style w:type="paragraph" w:customStyle="1" w:styleId="142">
    <w:name w:val="目次、索引正文"/>
    <w:qFormat/>
    <w:uiPriority w:val="99"/>
    <w:pPr>
      <w:spacing w:line="320" w:lineRule="exact"/>
      <w:jc w:val="both"/>
    </w:pPr>
    <w:rPr>
      <w:rFonts w:ascii="宋体" w:hAnsi="Times New Roman" w:eastAsia="宋体" w:cs="宋体"/>
      <w:sz w:val="21"/>
      <w:szCs w:val="21"/>
      <w:lang w:val="en-US" w:eastAsia="zh-CN" w:bidi="ar-SA"/>
    </w:rPr>
  </w:style>
  <w:style w:type="paragraph" w:customStyle="1" w:styleId="143">
    <w:name w:val="其他标准标志"/>
    <w:basedOn w:val="100"/>
    <w:qFormat/>
    <w:uiPriority w:val="99"/>
    <w:pPr>
      <w:framePr w:w="6101" w:vAnchor="page" w:hAnchor="page" w:x="4673" w:y="942"/>
    </w:pPr>
    <w:rPr>
      <w:w w:val="130"/>
    </w:rPr>
  </w:style>
  <w:style w:type="paragraph" w:customStyle="1" w:styleId="144">
    <w:name w:val="其他标准称谓"/>
    <w:next w:val="1"/>
    <w:qFormat/>
    <w:uiPriority w:val="99"/>
    <w:pPr>
      <w:framePr w:hSpace="181" w:vSpace="181" w:wrap="around" w:vAnchor="page" w:hAnchor="page" w:x="1419" w:y="2286" w:anchorLock="1"/>
      <w:spacing w:line="240" w:lineRule="atLeast"/>
      <w:jc w:val="distribute"/>
    </w:pPr>
    <w:rPr>
      <w:rFonts w:ascii="黑体" w:hAnsi="宋体" w:eastAsia="黑体" w:cs="黑体"/>
      <w:spacing w:val="-40"/>
      <w:sz w:val="48"/>
      <w:szCs w:val="48"/>
      <w:lang w:val="en-US" w:eastAsia="zh-CN" w:bidi="ar-SA"/>
    </w:rPr>
  </w:style>
  <w:style w:type="paragraph" w:customStyle="1" w:styleId="145">
    <w:name w:val="其他发布部门"/>
    <w:basedOn w:val="108"/>
    <w:qFormat/>
    <w:uiPriority w:val="99"/>
    <w:pPr>
      <w:framePr w:y="15310"/>
      <w:spacing w:line="240" w:lineRule="atLeast"/>
    </w:pPr>
    <w:rPr>
      <w:rFonts w:ascii="黑体" w:eastAsia="黑体" w:cs="黑体"/>
      <w:b w:val="0"/>
      <w:bCs w:val="0"/>
    </w:rPr>
  </w:style>
  <w:style w:type="paragraph" w:customStyle="1" w:styleId="146">
    <w:name w:val="前言、引言标题"/>
    <w:next w:val="34"/>
    <w:qFormat/>
    <w:uiPriority w:val="99"/>
    <w:pPr>
      <w:keepNext/>
      <w:pageBreakBefore/>
      <w:shd w:val="clear" w:color="FFFFFF" w:fill="FFFFFF"/>
      <w:spacing w:before="640" w:after="560"/>
      <w:jc w:val="center"/>
      <w:outlineLvl w:val="0"/>
    </w:pPr>
    <w:rPr>
      <w:rFonts w:ascii="黑体" w:hAnsi="Times New Roman" w:eastAsia="黑体" w:cs="黑体"/>
      <w:sz w:val="32"/>
      <w:szCs w:val="32"/>
      <w:lang w:val="en-US" w:eastAsia="zh-CN" w:bidi="ar-SA"/>
    </w:rPr>
  </w:style>
  <w:style w:type="paragraph" w:customStyle="1" w:styleId="147">
    <w:name w:val="三级无"/>
    <w:basedOn w:val="85"/>
    <w:qFormat/>
    <w:uiPriority w:val="0"/>
    <w:pPr>
      <w:spacing w:beforeLines="0" w:afterLines="0"/>
      <w:ind w:left="0"/>
    </w:pPr>
    <w:rPr>
      <w:rFonts w:ascii="宋体" w:eastAsia="宋体" w:cs="宋体"/>
    </w:rPr>
  </w:style>
  <w:style w:type="paragraph" w:customStyle="1" w:styleId="148">
    <w:name w:val="实施日期"/>
    <w:basedOn w:val="109"/>
    <w:qFormat/>
    <w:uiPriority w:val="99"/>
    <w:pPr>
      <w:framePr w:vAnchor="page" w:hAnchor="text"/>
      <w:jc w:val="right"/>
    </w:pPr>
  </w:style>
  <w:style w:type="paragraph" w:customStyle="1" w:styleId="149">
    <w:name w:val="示例后文字"/>
    <w:basedOn w:val="34"/>
    <w:next w:val="34"/>
    <w:qFormat/>
    <w:uiPriority w:val="99"/>
    <w:pPr>
      <w:ind w:firstLine="360"/>
    </w:pPr>
    <w:rPr>
      <w:sz w:val="18"/>
      <w:szCs w:val="18"/>
    </w:rPr>
  </w:style>
  <w:style w:type="paragraph" w:customStyle="1" w:styleId="150">
    <w:name w:val="首示例"/>
    <w:next w:val="34"/>
    <w:link w:val="151"/>
    <w:qFormat/>
    <w:uiPriority w:val="99"/>
    <w:pPr>
      <w:numPr>
        <w:ilvl w:val="0"/>
        <w:numId w:val="15"/>
      </w:numPr>
      <w:tabs>
        <w:tab w:val="left" w:pos="360"/>
      </w:tabs>
      <w:ind w:firstLine="0"/>
    </w:pPr>
    <w:rPr>
      <w:rFonts w:ascii="宋体" w:hAnsi="宋体" w:eastAsia="宋体" w:cs="Times New Roman"/>
      <w:kern w:val="2"/>
      <w:sz w:val="18"/>
      <w:szCs w:val="18"/>
      <w:lang w:val="en-US" w:eastAsia="zh-CN" w:bidi="ar-SA"/>
    </w:rPr>
  </w:style>
  <w:style w:type="character" w:customStyle="1" w:styleId="151">
    <w:name w:val="首示例 Char"/>
    <w:link w:val="150"/>
    <w:qFormat/>
    <w:locked/>
    <w:uiPriority w:val="99"/>
    <w:rPr>
      <w:rFonts w:ascii="宋体" w:hAnsi="宋体"/>
      <w:kern w:val="2"/>
      <w:sz w:val="18"/>
      <w:szCs w:val="18"/>
    </w:rPr>
  </w:style>
  <w:style w:type="paragraph" w:customStyle="1" w:styleId="152">
    <w:name w:val="四级无"/>
    <w:basedOn w:val="89"/>
    <w:qFormat/>
    <w:uiPriority w:val="99"/>
    <w:pPr>
      <w:spacing w:beforeLines="0" w:afterLines="0"/>
    </w:pPr>
    <w:rPr>
      <w:rFonts w:ascii="宋体" w:eastAsia="宋体" w:cs="宋体"/>
    </w:rPr>
  </w:style>
  <w:style w:type="paragraph" w:customStyle="1" w:styleId="153">
    <w:name w:val="条文脚注"/>
    <w:basedOn w:val="35"/>
    <w:qFormat/>
    <w:uiPriority w:val="99"/>
    <w:pPr>
      <w:numPr>
        <w:numId w:val="0"/>
      </w:numPr>
      <w:jc w:val="both"/>
    </w:pPr>
  </w:style>
  <w:style w:type="paragraph" w:customStyle="1" w:styleId="154">
    <w:name w:val="图标脚注说明"/>
    <w:basedOn w:val="34"/>
    <w:qFormat/>
    <w:uiPriority w:val="99"/>
    <w:pPr>
      <w:ind w:left="840" w:hanging="420" w:firstLineChars="0"/>
    </w:pPr>
    <w:rPr>
      <w:sz w:val="18"/>
      <w:szCs w:val="18"/>
    </w:rPr>
  </w:style>
  <w:style w:type="paragraph" w:customStyle="1" w:styleId="155">
    <w:name w:val="图表脚注说明"/>
    <w:basedOn w:val="1"/>
    <w:qFormat/>
    <w:uiPriority w:val="99"/>
    <w:pPr>
      <w:numPr>
        <w:ilvl w:val="0"/>
        <w:numId w:val="16"/>
      </w:numPr>
    </w:pPr>
    <w:rPr>
      <w:rFonts w:ascii="宋体" w:cs="宋体"/>
      <w:sz w:val="18"/>
      <w:szCs w:val="18"/>
    </w:rPr>
  </w:style>
  <w:style w:type="paragraph" w:customStyle="1" w:styleId="156">
    <w:name w:val="图的脚注"/>
    <w:next w:val="34"/>
    <w:qFormat/>
    <w:uiPriority w:val="99"/>
    <w:pPr>
      <w:widowControl w:val="0"/>
      <w:ind w:left="840" w:leftChars="200" w:hanging="420" w:hangingChars="200"/>
      <w:jc w:val="both"/>
    </w:pPr>
    <w:rPr>
      <w:rFonts w:ascii="宋体" w:hAnsi="Times New Roman" w:eastAsia="宋体" w:cs="宋体"/>
      <w:sz w:val="18"/>
      <w:szCs w:val="18"/>
      <w:lang w:val="en-US" w:eastAsia="zh-CN" w:bidi="ar-SA"/>
    </w:rPr>
  </w:style>
  <w:style w:type="paragraph" w:customStyle="1" w:styleId="157">
    <w:name w:val="文献分类号"/>
    <w:qFormat/>
    <w:uiPriority w:val="99"/>
    <w:pPr>
      <w:framePr w:hSpace="180" w:vSpace="180" w:wrap="around" w:vAnchor="margin" w:hAnchor="margin" w:y="1" w:anchorLock="1"/>
      <w:widowControl w:val="0"/>
      <w:textAlignment w:val="center"/>
    </w:pPr>
    <w:rPr>
      <w:rFonts w:ascii="黑体" w:hAnsi="Times New Roman" w:eastAsia="黑体" w:cs="黑体"/>
      <w:sz w:val="21"/>
      <w:szCs w:val="21"/>
      <w:lang w:val="en-US" w:eastAsia="zh-CN" w:bidi="ar-SA"/>
    </w:rPr>
  </w:style>
  <w:style w:type="paragraph" w:customStyle="1" w:styleId="158">
    <w:name w:val="五级无"/>
    <w:basedOn w:val="90"/>
    <w:qFormat/>
    <w:uiPriority w:val="99"/>
    <w:pPr>
      <w:spacing w:beforeLines="0" w:afterLines="0"/>
    </w:pPr>
    <w:rPr>
      <w:rFonts w:ascii="宋体" w:eastAsia="宋体" w:cs="宋体"/>
    </w:rPr>
  </w:style>
  <w:style w:type="paragraph" w:customStyle="1" w:styleId="159">
    <w:name w:val="一级无"/>
    <w:basedOn w:val="76"/>
    <w:qFormat/>
    <w:uiPriority w:val="0"/>
    <w:pPr>
      <w:spacing w:beforeLines="0" w:afterLines="0"/>
    </w:pPr>
    <w:rPr>
      <w:rFonts w:ascii="宋体" w:eastAsia="宋体" w:cs="宋体"/>
    </w:rPr>
  </w:style>
  <w:style w:type="character" w:customStyle="1" w:styleId="160">
    <w:name w:val="已访问的超链接1"/>
    <w:qFormat/>
    <w:uiPriority w:val="99"/>
    <w:rPr>
      <w:color w:val="800080"/>
      <w:u w:val="single"/>
    </w:rPr>
  </w:style>
  <w:style w:type="paragraph" w:customStyle="1" w:styleId="161">
    <w:name w:val="正文表标题"/>
    <w:next w:val="34"/>
    <w:qFormat/>
    <w:uiPriority w:val="99"/>
    <w:pPr>
      <w:numPr>
        <w:ilvl w:val="0"/>
        <w:numId w:val="17"/>
      </w:numPr>
      <w:tabs>
        <w:tab w:val="left" w:pos="360"/>
      </w:tabs>
      <w:spacing w:beforeLines="50" w:afterLines="50"/>
      <w:jc w:val="center"/>
    </w:pPr>
    <w:rPr>
      <w:rFonts w:ascii="黑体" w:hAnsi="Times New Roman" w:eastAsia="黑体" w:cs="黑体"/>
      <w:sz w:val="21"/>
      <w:szCs w:val="21"/>
      <w:lang w:val="en-US" w:eastAsia="zh-CN" w:bidi="ar-SA"/>
    </w:rPr>
  </w:style>
  <w:style w:type="paragraph" w:customStyle="1" w:styleId="162">
    <w:name w:val="正文公式编号制表符"/>
    <w:basedOn w:val="34"/>
    <w:next w:val="34"/>
    <w:qFormat/>
    <w:uiPriority w:val="99"/>
    <w:pPr>
      <w:ind w:firstLine="0" w:firstLineChars="0"/>
    </w:pPr>
  </w:style>
  <w:style w:type="paragraph" w:customStyle="1" w:styleId="163">
    <w:name w:val="正文图标题"/>
    <w:next w:val="34"/>
    <w:qFormat/>
    <w:uiPriority w:val="99"/>
    <w:pPr>
      <w:numPr>
        <w:ilvl w:val="0"/>
        <w:numId w:val="18"/>
      </w:numPr>
      <w:tabs>
        <w:tab w:val="left" w:pos="360"/>
      </w:tabs>
      <w:spacing w:beforeLines="50" w:afterLines="50"/>
      <w:jc w:val="center"/>
    </w:pPr>
    <w:rPr>
      <w:rFonts w:ascii="黑体" w:hAnsi="Times New Roman" w:eastAsia="黑体" w:cs="黑体"/>
      <w:sz w:val="21"/>
      <w:szCs w:val="21"/>
      <w:lang w:val="en-US" w:eastAsia="zh-CN" w:bidi="ar-SA"/>
    </w:rPr>
  </w:style>
  <w:style w:type="paragraph" w:customStyle="1" w:styleId="164">
    <w:name w:val="终结线"/>
    <w:basedOn w:val="1"/>
    <w:qFormat/>
    <w:uiPriority w:val="99"/>
    <w:pPr>
      <w:framePr w:hSpace="181" w:vSpace="181" w:wrap="around" w:vAnchor="text" w:hAnchor="margin" w:xAlign="center" w:y="285"/>
    </w:pPr>
  </w:style>
  <w:style w:type="paragraph" w:customStyle="1" w:styleId="165">
    <w:name w:val="其他发布日期"/>
    <w:basedOn w:val="109"/>
    <w:qFormat/>
    <w:uiPriority w:val="99"/>
    <w:pPr>
      <w:framePr w:vAnchor="page" w:hAnchor="text" w:x="1419"/>
    </w:pPr>
  </w:style>
  <w:style w:type="paragraph" w:customStyle="1" w:styleId="166">
    <w:name w:val="其他实施日期"/>
    <w:basedOn w:val="148"/>
    <w:qFormat/>
    <w:uiPriority w:val="99"/>
  </w:style>
  <w:style w:type="paragraph" w:customStyle="1" w:styleId="167">
    <w:name w:val="封面标准名称2"/>
    <w:basedOn w:val="112"/>
    <w:qFormat/>
    <w:uiPriority w:val="99"/>
    <w:pPr>
      <w:framePr w:y="4469"/>
      <w:spacing w:beforeLines="630"/>
    </w:pPr>
  </w:style>
  <w:style w:type="paragraph" w:customStyle="1" w:styleId="168">
    <w:name w:val="封面标准英文名称2"/>
    <w:basedOn w:val="113"/>
    <w:qFormat/>
    <w:uiPriority w:val="99"/>
    <w:pPr>
      <w:framePr w:y="4469"/>
    </w:pPr>
  </w:style>
  <w:style w:type="paragraph" w:customStyle="1" w:styleId="169">
    <w:name w:val="封面一致性程度标识2"/>
    <w:basedOn w:val="114"/>
    <w:qFormat/>
    <w:uiPriority w:val="99"/>
    <w:pPr>
      <w:framePr w:y="4469"/>
    </w:pPr>
  </w:style>
  <w:style w:type="paragraph" w:customStyle="1" w:styleId="170">
    <w:name w:val="封面标准文稿类别2"/>
    <w:basedOn w:val="115"/>
    <w:qFormat/>
    <w:uiPriority w:val="99"/>
    <w:pPr>
      <w:framePr w:y="4469"/>
    </w:pPr>
  </w:style>
  <w:style w:type="paragraph" w:customStyle="1" w:styleId="171">
    <w:name w:val="封面标准文稿编辑信息2"/>
    <w:basedOn w:val="116"/>
    <w:qFormat/>
    <w:uiPriority w:val="99"/>
    <w:pPr>
      <w:framePr w:y="4469"/>
    </w:pPr>
  </w:style>
  <w:style w:type="paragraph" w:styleId="172">
    <w:name w:val="List Paragraph"/>
    <w:basedOn w:val="1"/>
    <w:qFormat/>
    <w:uiPriority w:val="99"/>
    <w:pPr>
      <w:ind w:firstLine="420" w:firstLineChars="200"/>
    </w:pPr>
    <w:rPr>
      <w:rFonts w:ascii="Calibri" w:hAnsi="Calibri" w:cs="Calibri"/>
    </w:rPr>
  </w:style>
  <w:style w:type="paragraph" w:customStyle="1" w:styleId="173">
    <w:name w:val="xl56"/>
    <w:basedOn w:val="1"/>
    <w:qFormat/>
    <w:uiPriority w:val="99"/>
    <w:pPr>
      <w:widowControl/>
      <w:pBdr>
        <w:left w:val="single" w:color="auto" w:sz="4" w:space="0"/>
        <w:right w:val="single" w:color="auto" w:sz="4" w:space="0"/>
      </w:pBdr>
      <w:spacing w:before="100" w:beforeAutospacing="1" w:after="100" w:afterAutospacing="1"/>
      <w:jc w:val="center"/>
      <w:textAlignment w:val="top"/>
    </w:pPr>
    <w:rPr>
      <w:rFonts w:ascii="宋体" w:hAnsi="宋体" w:cs="宋体"/>
      <w:sz w:val="24"/>
      <w:szCs w:val="24"/>
    </w:rPr>
  </w:style>
  <w:style w:type="paragraph" w:customStyle="1" w:styleId="174">
    <w:name w:val="修订1"/>
    <w:hidden/>
    <w:semiHidden/>
    <w:qFormat/>
    <w:uiPriority w:val="99"/>
    <w:rPr>
      <w:rFonts w:ascii="Times New Roman" w:hAnsi="Times New Roman" w:eastAsia="宋体" w:cs="Times New Roman"/>
      <w:kern w:val="2"/>
      <w:sz w:val="21"/>
      <w:szCs w:val="21"/>
      <w:lang w:val="en-US" w:eastAsia="zh-CN" w:bidi="ar-SA"/>
    </w:rPr>
  </w:style>
  <w:style w:type="paragraph" w:customStyle="1" w:styleId="175">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76">
    <w:name w:val="标准文件_正文表标题"/>
    <w:next w:val="1"/>
    <w:qFormat/>
    <w:uiPriority w:val="99"/>
    <w:pPr>
      <w:tabs>
        <w:tab w:val="left" w:pos="0"/>
      </w:tabs>
      <w:spacing w:beforeLines="50" w:afterLines="50"/>
      <w:ind w:left="3260"/>
      <w:jc w:val="center"/>
    </w:pPr>
    <w:rPr>
      <w:rFonts w:ascii="黑体" w:hAnsi="Times New Roman" w:eastAsia="黑体" w:cs="黑体"/>
      <w:sz w:val="21"/>
      <w:szCs w:val="21"/>
      <w:lang w:val="en-US" w:eastAsia="zh-CN" w:bidi="ar-SA"/>
    </w:rPr>
  </w:style>
  <w:style w:type="paragraph" w:styleId="177">
    <w:name w:val="Quote"/>
    <w:basedOn w:val="1"/>
    <w:next w:val="1"/>
    <w:link w:val="178"/>
    <w:qFormat/>
    <w:uiPriority w:val="99"/>
    <w:pPr>
      <w:adjustRightInd w:val="0"/>
      <w:spacing w:line="400" w:lineRule="exact"/>
    </w:pPr>
    <w:rPr>
      <w:rFonts w:ascii="Calibri" w:hAnsi="Calibri" w:cs="Calibri"/>
      <w:i/>
      <w:iCs/>
      <w:color w:val="000000"/>
    </w:rPr>
  </w:style>
  <w:style w:type="character" w:customStyle="1" w:styleId="178">
    <w:name w:val="引用 Char"/>
    <w:basedOn w:val="47"/>
    <w:link w:val="177"/>
    <w:qFormat/>
    <w:locked/>
    <w:uiPriority w:val="99"/>
    <w:rPr>
      <w:rFonts w:ascii="Calibri" w:hAnsi="Calibri" w:cs="Calibri"/>
      <w:i/>
      <w:iCs/>
      <w:color w:val="000000"/>
      <w:kern w:val="2"/>
      <w:sz w:val="21"/>
      <w:szCs w:val="21"/>
    </w:rPr>
  </w:style>
  <w:style w:type="paragraph" w:customStyle="1" w:styleId="179">
    <w:name w:val="标准文件_页脚偶数页"/>
    <w:qFormat/>
    <w:uiPriority w:val="99"/>
    <w:pPr>
      <w:ind w:left="198"/>
    </w:pPr>
    <w:rPr>
      <w:rFonts w:ascii="宋体" w:hAnsi="Times New Roman" w:eastAsia="宋体" w:cs="宋体"/>
      <w:sz w:val="18"/>
      <w:szCs w:val="18"/>
      <w:lang w:val="en-US" w:eastAsia="zh-CN" w:bidi="ar-SA"/>
    </w:rPr>
  </w:style>
  <w:style w:type="paragraph" w:customStyle="1" w:styleId="180">
    <w:name w:val="标准文件_页脚奇数页"/>
    <w:qFormat/>
    <w:uiPriority w:val="99"/>
    <w:pPr>
      <w:ind w:right="227"/>
      <w:jc w:val="right"/>
    </w:pPr>
    <w:rPr>
      <w:rFonts w:ascii="宋体" w:hAnsi="Times New Roman" w:eastAsia="宋体" w:cs="宋体"/>
      <w:sz w:val="18"/>
      <w:szCs w:val="18"/>
      <w:lang w:val="en-US" w:eastAsia="zh-CN" w:bidi="ar-SA"/>
    </w:rPr>
  </w:style>
  <w:style w:type="paragraph" w:customStyle="1" w:styleId="181">
    <w:name w:val="标准文件_ICS"/>
    <w:basedOn w:val="1"/>
    <w:qFormat/>
    <w:uiPriority w:val="99"/>
    <w:pPr>
      <w:adjustRightInd w:val="0"/>
      <w:spacing w:line="240" w:lineRule="atLeast"/>
    </w:pPr>
    <w:rPr>
      <w:rFonts w:ascii="黑体" w:hAnsi="宋体" w:eastAsia="黑体" w:cs="黑体"/>
    </w:rPr>
  </w:style>
  <w:style w:type="paragraph" w:customStyle="1" w:styleId="182">
    <w:name w:val="标准文件_标准正文"/>
    <w:basedOn w:val="1"/>
    <w:next w:val="183"/>
    <w:qFormat/>
    <w:uiPriority w:val="99"/>
    <w:pPr>
      <w:adjustRightInd w:val="0"/>
      <w:snapToGrid w:val="0"/>
      <w:spacing w:line="400" w:lineRule="exact"/>
      <w:ind w:firstLine="200" w:firstLineChars="200"/>
    </w:pPr>
    <w:rPr>
      <w:rFonts w:ascii="Calibri" w:hAnsi="Calibri" w:cs="Calibri"/>
      <w:kern w:val="0"/>
    </w:rPr>
  </w:style>
  <w:style w:type="paragraph" w:customStyle="1" w:styleId="183">
    <w:name w:val="标准文件_段"/>
    <w:link w:val="293"/>
    <w:qFormat/>
    <w:uiPriority w:val="99"/>
    <w:pPr>
      <w:autoSpaceDE w:val="0"/>
      <w:autoSpaceDN w:val="0"/>
      <w:ind w:firstLine="200" w:firstLineChars="200"/>
      <w:jc w:val="both"/>
    </w:pPr>
    <w:rPr>
      <w:rFonts w:ascii="宋体" w:hAnsi="Times New Roman" w:eastAsia="宋体" w:cs="Times New Roman"/>
      <w:sz w:val="21"/>
      <w:szCs w:val="21"/>
      <w:lang w:val="en-US" w:eastAsia="zh-CN" w:bidi="ar-SA"/>
    </w:rPr>
  </w:style>
  <w:style w:type="paragraph" w:customStyle="1" w:styleId="184">
    <w:name w:val="标准文件_版本"/>
    <w:basedOn w:val="182"/>
    <w:qFormat/>
    <w:uiPriority w:val="99"/>
    <w:pPr>
      <w:adjustRightInd/>
      <w:snapToGrid/>
      <w:ind w:firstLine="0" w:firstLineChars="0"/>
    </w:pPr>
    <w:rPr>
      <w:rFonts w:ascii="宋体" w:hAnsi="宋体" w:cs="宋体"/>
      <w:kern w:val="2"/>
    </w:rPr>
  </w:style>
  <w:style w:type="paragraph" w:customStyle="1" w:styleId="185">
    <w:name w:val="标准文件_标准部门"/>
    <w:basedOn w:val="1"/>
    <w:qFormat/>
    <w:uiPriority w:val="99"/>
    <w:pPr>
      <w:adjustRightInd w:val="0"/>
      <w:spacing w:line="400" w:lineRule="exact"/>
      <w:jc w:val="center"/>
    </w:pPr>
    <w:rPr>
      <w:rFonts w:ascii="黑体" w:hAnsi="Calibri" w:eastAsia="黑体" w:cs="黑体"/>
      <w:kern w:val="0"/>
      <w:sz w:val="44"/>
      <w:szCs w:val="44"/>
    </w:rPr>
  </w:style>
  <w:style w:type="paragraph" w:customStyle="1" w:styleId="186">
    <w:name w:val="标准文件_标准代替"/>
    <w:basedOn w:val="1"/>
    <w:next w:val="1"/>
    <w:qFormat/>
    <w:uiPriority w:val="99"/>
    <w:pPr>
      <w:adjustRightInd w:val="0"/>
      <w:spacing w:line="310" w:lineRule="exact"/>
      <w:jc w:val="right"/>
    </w:pPr>
    <w:rPr>
      <w:rFonts w:ascii="宋体" w:hAnsi="宋体" w:cs="宋体"/>
      <w:kern w:val="0"/>
    </w:rPr>
  </w:style>
  <w:style w:type="paragraph" w:customStyle="1" w:styleId="187">
    <w:name w:val="标准文件_标准名称标题"/>
    <w:basedOn w:val="1"/>
    <w:next w:val="1"/>
    <w:qFormat/>
    <w:uiPriority w:val="99"/>
    <w:pPr>
      <w:widowControl/>
      <w:shd w:val="clear" w:color="FFFFFF" w:fill="FFFFFF"/>
      <w:spacing w:before="640" w:after="100" w:line="400" w:lineRule="exact"/>
      <w:jc w:val="center"/>
    </w:pPr>
    <w:rPr>
      <w:rFonts w:ascii="黑体" w:hAnsi="Calibri" w:eastAsia="黑体" w:cs="黑体"/>
      <w:kern w:val="0"/>
      <w:sz w:val="32"/>
      <w:szCs w:val="32"/>
    </w:rPr>
  </w:style>
  <w:style w:type="paragraph" w:customStyle="1" w:styleId="188">
    <w:name w:val="标准文件_页眉奇数页"/>
    <w:next w:val="1"/>
    <w:qFormat/>
    <w:uiPriority w:val="99"/>
    <w:pPr>
      <w:tabs>
        <w:tab w:val="center" w:pos="4154"/>
        <w:tab w:val="right" w:pos="8306"/>
      </w:tabs>
      <w:spacing w:after="120"/>
      <w:jc w:val="right"/>
    </w:pPr>
    <w:rPr>
      <w:rFonts w:ascii="黑体" w:hAnsi="宋体" w:eastAsia="黑体" w:cs="黑体"/>
      <w:sz w:val="21"/>
      <w:szCs w:val="21"/>
      <w:lang w:val="en-US" w:eastAsia="zh-CN" w:bidi="ar-SA"/>
    </w:rPr>
  </w:style>
  <w:style w:type="paragraph" w:customStyle="1" w:styleId="189">
    <w:name w:val="标准文件_页眉偶数页"/>
    <w:basedOn w:val="188"/>
    <w:next w:val="1"/>
    <w:qFormat/>
    <w:uiPriority w:val="99"/>
    <w:pPr>
      <w:jc w:val="left"/>
    </w:pPr>
  </w:style>
  <w:style w:type="paragraph" w:customStyle="1" w:styleId="190">
    <w:name w:val="标准文件_参考文献标题"/>
    <w:basedOn w:val="1"/>
    <w:next w:val="1"/>
    <w:qFormat/>
    <w:uiPriority w:val="99"/>
    <w:pPr>
      <w:widowControl/>
      <w:shd w:val="clear" w:color="FFFFFF" w:fill="FFFFFF"/>
      <w:spacing w:beforeLines="40" w:afterLines="50"/>
      <w:jc w:val="center"/>
      <w:outlineLvl w:val="0"/>
    </w:pPr>
    <w:rPr>
      <w:rFonts w:ascii="黑体" w:hAnsi="Calibri" w:eastAsia="黑体" w:cs="黑体"/>
      <w:kern w:val="0"/>
    </w:rPr>
  </w:style>
  <w:style w:type="paragraph" w:customStyle="1" w:styleId="191">
    <w:name w:val="标准文件_参考文献条目"/>
    <w:qFormat/>
    <w:uiPriority w:val="99"/>
    <w:pPr>
      <w:numPr>
        <w:ilvl w:val="0"/>
        <w:numId w:val="19"/>
      </w:numPr>
    </w:pPr>
    <w:rPr>
      <w:rFonts w:ascii="宋体" w:hAnsi="Times New Roman" w:eastAsia="宋体" w:cs="宋体"/>
      <w:lang w:val="en-US" w:eastAsia="zh-CN" w:bidi="ar-SA"/>
    </w:rPr>
  </w:style>
  <w:style w:type="paragraph" w:customStyle="1" w:styleId="192">
    <w:name w:val="标准文件_二级条标题"/>
    <w:next w:val="183"/>
    <w:qFormat/>
    <w:uiPriority w:val="99"/>
    <w:pPr>
      <w:widowControl w:val="0"/>
      <w:numPr>
        <w:ilvl w:val="3"/>
        <w:numId w:val="20"/>
      </w:numPr>
      <w:spacing w:beforeLines="50" w:afterLines="50"/>
      <w:jc w:val="both"/>
      <w:outlineLvl w:val="2"/>
    </w:pPr>
    <w:rPr>
      <w:rFonts w:ascii="黑体" w:hAnsi="Times New Roman" w:eastAsia="黑体" w:cs="黑体"/>
      <w:sz w:val="21"/>
      <w:szCs w:val="21"/>
      <w:lang w:val="en-US" w:eastAsia="zh-CN" w:bidi="ar-SA"/>
    </w:rPr>
  </w:style>
  <w:style w:type="character" w:customStyle="1" w:styleId="193">
    <w:name w:val="标准文件_发布"/>
    <w:qFormat/>
    <w:uiPriority w:val="99"/>
    <w:rPr>
      <w:rFonts w:ascii="黑体" w:eastAsia="黑体" w:cs="黑体"/>
      <w:spacing w:val="0"/>
      <w:w w:val="100"/>
      <w:position w:val="3"/>
      <w:sz w:val="28"/>
      <w:szCs w:val="28"/>
    </w:rPr>
  </w:style>
  <w:style w:type="paragraph" w:customStyle="1" w:styleId="194">
    <w:name w:val="标准文件_方框数字列项"/>
    <w:basedOn w:val="183"/>
    <w:qFormat/>
    <w:uiPriority w:val="99"/>
    <w:pPr>
      <w:numPr>
        <w:ilvl w:val="0"/>
        <w:numId w:val="21"/>
      </w:numPr>
      <w:ind w:left="833" w:firstLine="0" w:firstLineChars="0"/>
    </w:pPr>
  </w:style>
  <w:style w:type="paragraph" w:customStyle="1" w:styleId="195">
    <w:name w:val="标准文件_封面标准编号"/>
    <w:basedOn w:val="1"/>
    <w:next w:val="186"/>
    <w:qFormat/>
    <w:uiPriority w:val="99"/>
    <w:pPr>
      <w:adjustRightInd w:val="0"/>
      <w:spacing w:line="310" w:lineRule="exact"/>
      <w:jc w:val="right"/>
    </w:pPr>
    <w:rPr>
      <w:rFonts w:ascii="黑体" w:hAnsi="Calibri" w:eastAsia="黑体" w:cs="黑体"/>
      <w:kern w:val="0"/>
      <w:sz w:val="28"/>
      <w:szCs w:val="28"/>
    </w:rPr>
  </w:style>
  <w:style w:type="paragraph" w:customStyle="1" w:styleId="196">
    <w:name w:val="标准文件_封面标准分类号"/>
    <w:basedOn w:val="1"/>
    <w:qFormat/>
    <w:uiPriority w:val="99"/>
    <w:pPr>
      <w:adjustRightInd w:val="0"/>
      <w:spacing w:line="400" w:lineRule="exact"/>
    </w:pPr>
    <w:rPr>
      <w:rFonts w:ascii="黑体" w:hAnsi="Calibri" w:eastAsia="黑体" w:cs="黑体"/>
      <w:b/>
      <w:bCs/>
      <w:kern w:val="0"/>
      <w:sz w:val="28"/>
      <w:szCs w:val="28"/>
    </w:rPr>
  </w:style>
  <w:style w:type="paragraph" w:customStyle="1" w:styleId="197">
    <w:name w:val="标准文件_封面标准名称"/>
    <w:basedOn w:val="1"/>
    <w:qFormat/>
    <w:uiPriority w:val="99"/>
    <w:pPr>
      <w:adjustRightInd w:val="0"/>
      <w:jc w:val="center"/>
    </w:pPr>
    <w:rPr>
      <w:rFonts w:ascii="黑体" w:hAnsi="Calibri" w:eastAsia="黑体" w:cs="黑体"/>
      <w:kern w:val="0"/>
      <w:sz w:val="52"/>
      <w:szCs w:val="52"/>
    </w:rPr>
  </w:style>
  <w:style w:type="paragraph" w:customStyle="1" w:styleId="198">
    <w:name w:val="标准文件_封面标准英文名称"/>
    <w:basedOn w:val="1"/>
    <w:qFormat/>
    <w:uiPriority w:val="99"/>
    <w:pPr>
      <w:adjustRightInd w:val="0"/>
      <w:jc w:val="center"/>
    </w:pPr>
    <w:rPr>
      <w:rFonts w:ascii="黑体" w:hAnsi="Calibri" w:eastAsia="黑体" w:cs="黑体"/>
      <w:b/>
      <w:bCs/>
      <w:sz w:val="28"/>
      <w:szCs w:val="28"/>
    </w:rPr>
  </w:style>
  <w:style w:type="paragraph" w:customStyle="1" w:styleId="199">
    <w:name w:val="标准文件_封面发布日期"/>
    <w:basedOn w:val="1"/>
    <w:qFormat/>
    <w:uiPriority w:val="99"/>
    <w:pPr>
      <w:adjustRightInd w:val="0"/>
      <w:spacing w:line="310" w:lineRule="exact"/>
    </w:pPr>
    <w:rPr>
      <w:rFonts w:ascii="黑体" w:hAnsi="Calibri" w:eastAsia="黑体" w:cs="黑体"/>
      <w:kern w:val="0"/>
      <w:sz w:val="28"/>
      <w:szCs w:val="28"/>
    </w:rPr>
  </w:style>
  <w:style w:type="paragraph" w:customStyle="1" w:styleId="200">
    <w:name w:val="标准文件_封面密级"/>
    <w:basedOn w:val="1"/>
    <w:qFormat/>
    <w:uiPriority w:val="99"/>
    <w:pPr>
      <w:adjustRightInd w:val="0"/>
      <w:spacing w:line="400" w:lineRule="exact"/>
    </w:pPr>
    <w:rPr>
      <w:rFonts w:ascii="Calibri" w:hAnsi="Calibri" w:eastAsia="黑体" w:cs="Calibri"/>
      <w:sz w:val="32"/>
      <w:szCs w:val="32"/>
    </w:rPr>
  </w:style>
  <w:style w:type="paragraph" w:customStyle="1" w:styleId="201">
    <w:name w:val="标准文件_封面实施日期"/>
    <w:basedOn w:val="1"/>
    <w:qFormat/>
    <w:uiPriority w:val="99"/>
    <w:pPr>
      <w:adjustRightInd w:val="0"/>
      <w:spacing w:line="310" w:lineRule="exact"/>
      <w:jc w:val="right"/>
    </w:pPr>
    <w:rPr>
      <w:rFonts w:ascii="黑体" w:hAnsi="Calibri" w:eastAsia="黑体" w:cs="黑体"/>
      <w:sz w:val="28"/>
      <w:szCs w:val="28"/>
    </w:rPr>
  </w:style>
  <w:style w:type="paragraph" w:customStyle="1" w:styleId="202">
    <w:name w:val="标准文件_封面抬头"/>
    <w:basedOn w:val="183"/>
    <w:qFormat/>
    <w:uiPriority w:val="99"/>
    <w:pPr>
      <w:adjustRightInd w:val="0"/>
      <w:spacing w:line="800" w:lineRule="exact"/>
      <w:ind w:firstLine="0" w:firstLineChars="0"/>
      <w:jc w:val="distribute"/>
    </w:pPr>
    <w:rPr>
      <w:rFonts w:ascii="黑体" w:eastAsia="黑体" w:cs="黑体"/>
      <w:b/>
      <w:bCs/>
      <w:sz w:val="64"/>
      <w:szCs w:val="64"/>
    </w:rPr>
  </w:style>
  <w:style w:type="paragraph" w:customStyle="1" w:styleId="203">
    <w:name w:val="标准文件_附录标识"/>
    <w:next w:val="183"/>
    <w:qFormat/>
    <w:uiPriority w:val="99"/>
    <w:pPr>
      <w:shd w:val="clear" w:color="FFFFFF" w:fill="FFFFFF"/>
      <w:tabs>
        <w:tab w:val="left" w:pos="6406"/>
      </w:tabs>
      <w:spacing w:beforeLines="25" w:afterLines="50"/>
      <w:jc w:val="center"/>
      <w:outlineLvl w:val="0"/>
    </w:pPr>
    <w:rPr>
      <w:rFonts w:ascii="黑体" w:hAnsi="Times New Roman" w:eastAsia="黑体" w:cs="黑体"/>
      <w:sz w:val="21"/>
      <w:szCs w:val="21"/>
      <w:lang w:val="en-US" w:eastAsia="zh-CN" w:bidi="ar-SA"/>
    </w:rPr>
  </w:style>
  <w:style w:type="paragraph" w:customStyle="1" w:styleId="204">
    <w:name w:val="标准文件_附录表标题"/>
    <w:next w:val="183"/>
    <w:qFormat/>
    <w:uiPriority w:val="99"/>
    <w:pPr>
      <w:numPr>
        <w:ilvl w:val="1"/>
        <w:numId w:val="22"/>
      </w:numPr>
      <w:adjustRightInd w:val="0"/>
      <w:snapToGrid w:val="0"/>
      <w:spacing w:beforeLines="50" w:afterLines="50"/>
      <w:jc w:val="center"/>
      <w:textAlignment w:val="baseline"/>
    </w:pPr>
    <w:rPr>
      <w:rFonts w:ascii="黑体" w:hAnsi="Times New Roman" w:eastAsia="黑体" w:cs="黑体"/>
      <w:kern w:val="21"/>
      <w:sz w:val="21"/>
      <w:szCs w:val="21"/>
      <w:lang w:val="en-US" w:eastAsia="zh-CN" w:bidi="ar-SA"/>
    </w:rPr>
  </w:style>
  <w:style w:type="paragraph" w:customStyle="1" w:styleId="205">
    <w:name w:val="标准文件_附录一级条标题"/>
    <w:next w:val="183"/>
    <w:qFormat/>
    <w:uiPriority w:val="99"/>
    <w:pPr>
      <w:widowControl w:val="0"/>
      <w:spacing w:beforeLines="50" w:afterLines="50"/>
      <w:jc w:val="both"/>
      <w:outlineLvl w:val="2"/>
    </w:pPr>
    <w:rPr>
      <w:rFonts w:ascii="黑体" w:hAnsi="Times New Roman" w:eastAsia="黑体" w:cs="黑体"/>
      <w:kern w:val="21"/>
      <w:sz w:val="21"/>
      <w:szCs w:val="21"/>
      <w:lang w:val="en-US" w:eastAsia="zh-CN" w:bidi="ar-SA"/>
    </w:rPr>
  </w:style>
  <w:style w:type="paragraph" w:customStyle="1" w:styleId="206">
    <w:name w:val="标准文件_附录二级条标题"/>
    <w:basedOn w:val="205"/>
    <w:next w:val="183"/>
    <w:qFormat/>
    <w:uiPriority w:val="99"/>
    <w:pPr>
      <w:widowControl/>
      <w:wordWrap w:val="0"/>
      <w:overflowPunct w:val="0"/>
      <w:autoSpaceDE w:val="0"/>
      <w:autoSpaceDN w:val="0"/>
      <w:textAlignment w:val="baseline"/>
      <w:outlineLvl w:val="3"/>
    </w:pPr>
  </w:style>
  <w:style w:type="paragraph" w:customStyle="1" w:styleId="207">
    <w:name w:val="标准文件_附录公式"/>
    <w:basedOn w:val="182"/>
    <w:next w:val="182"/>
    <w:qFormat/>
    <w:uiPriority w:val="99"/>
    <w:pPr>
      <w:tabs>
        <w:tab w:val="center" w:pos="4678"/>
        <w:tab w:val="center" w:pos="9356"/>
      </w:tabs>
      <w:spacing w:line="240" w:lineRule="auto"/>
      <w:ind w:right="-51" w:firstLine="0" w:firstLineChars="0"/>
    </w:pPr>
    <w:rPr>
      <w:rFonts w:ascii="宋体" w:hAnsi="宋体" w:cs="宋体"/>
    </w:rPr>
  </w:style>
  <w:style w:type="paragraph" w:customStyle="1" w:styleId="208">
    <w:name w:val="标准文件_附录三级条标题"/>
    <w:next w:val="183"/>
    <w:qFormat/>
    <w:uiPriority w:val="99"/>
    <w:pPr>
      <w:widowControl w:val="0"/>
      <w:spacing w:beforeLines="50" w:afterLines="50"/>
      <w:jc w:val="both"/>
      <w:outlineLvl w:val="4"/>
    </w:pPr>
    <w:rPr>
      <w:rFonts w:ascii="黑体" w:hAnsi="Times New Roman" w:eastAsia="黑体" w:cs="黑体"/>
      <w:kern w:val="21"/>
      <w:sz w:val="21"/>
      <w:szCs w:val="21"/>
      <w:lang w:val="en-US" w:eastAsia="zh-CN" w:bidi="ar-SA"/>
    </w:rPr>
  </w:style>
  <w:style w:type="paragraph" w:customStyle="1" w:styleId="209">
    <w:name w:val="标准文件_附录四级条标题"/>
    <w:next w:val="183"/>
    <w:qFormat/>
    <w:uiPriority w:val="99"/>
    <w:pPr>
      <w:widowControl w:val="0"/>
      <w:spacing w:beforeLines="50" w:afterLines="50"/>
      <w:jc w:val="both"/>
      <w:outlineLvl w:val="5"/>
    </w:pPr>
    <w:rPr>
      <w:rFonts w:ascii="黑体" w:hAnsi="Times New Roman" w:eastAsia="黑体" w:cs="黑体"/>
      <w:kern w:val="21"/>
      <w:sz w:val="21"/>
      <w:szCs w:val="21"/>
      <w:lang w:val="en-US" w:eastAsia="zh-CN" w:bidi="ar-SA"/>
    </w:rPr>
  </w:style>
  <w:style w:type="paragraph" w:customStyle="1" w:styleId="210">
    <w:name w:val="标准文件_附录图标题"/>
    <w:next w:val="183"/>
    <w:qFormat/>
    <w:uiPriority w:val="99"/>
    <w:pPr>
      <w:numPr>
        <w:ilvl w:val="1"/>
        <w:numId w:val="23"/>
      </w:numPr>
      <w:adjustRightInd w:val="0"/>
      <w:snapToGrid w:val="0"/>
      <w:spacing w:beforeLines="50" w:afterLines="50"/>
      <w:ind w:firstLine="420"/>
      <w:jc w:val="center"/>
    </w:pPr>
    <w:rPr>
      <w:rFonts w:ascii="黑体" w:hAnsi="Times New Roman" w:eastAsia="黑体" w:cs="黑体"/>
      <w:sz w:val="21"/>
      <w:szCs w:val="21"/>
      <w:lang w:val="en-US" w:eastAsia="zh-CN" w:bidi="ar-SA"/>
    </w:rPr>
  </w:style>
  <w:style w:type="paragraph" w:customStyle="1" w:styleId="211">
    <w:name w:val="标准文件_附录五级条标题"/>
    <w:next w:val="183"/>
    <w:qFormat/>
    <w:uiPriority w:val="99"/>
    <w:pPr>
      <w:widowControl w:val="0"/>
      <w:spacing w:beforeLines="50" w:afterLines="50"/>
      <w:jc w:val="both"/>
      <w:outlineLvl w:val="6"/>
    </w:pPr>
    <w:rPr>
      <w:rFonts w:ascii="黑体" w:hAnsi="Times New Roman" w:eastAsia="黑体" w:cs="黑体"/>
      <w:kern w:val="21"/>
      <w:sz w:val="21"/>
      <w:szCs w:val="21"/>
      <w:lang w:val="en-US" w:eastAsia="zh-CN" w:bidi="ar-SA"/>
    </w:rPr>
  </w:style>
  <w:style w:type="paragraph" w:customStyle="1" w:styleId="212">
    <w:name w:val="标准文件_附录英文标识"/>
    <w:next w:val="19"/>
    <w:qFormat/>
    <w:uiPriority w:val="99"/>
    <w:pPr>
      <w:numPr>
        <w:ilvl w:val="0"/>
        <w:numId w:val="24"/>
      </w:numPr>
      <w:tabs>
        <w:tab w:val="left" w:pos="6406"/>
      </w:tabs>
      <w:spacing w:before="220" w:after="320"/>
      <w:jc w:val="center"/>
      <w:outlineLvl w:val="0"/>
    </w:pPr>
    <w:rPr>
      <w:rFonts w:ascii="黑体" w:hAnsi="Times New Roman" w:eastAsia="黑体" w:cs="黑体"/>
      <w:sz w:val="21"/>
      <w:szCs w:val="21"/>
      <w:lang w:val="en-US" w:eastAsia="zh-CN" w:bidi="ar-SA"/>
    </w:rPr>
  </w:style>
  <w:style w:type="paragraph" w:customStyle="1" w:styleId="213">
    <w:name w:val="标准文件_附录章标题"/>
    <w:next w:val="183"/>
    <w:qFormat/>
    <w:uiPriority w:val="99"/>
    <w:pPr>
      <w:wordWrap w:val="0"/>
      <w:overflowPunct w:val="0"/>
      <w:autoSpaceDE w:val="0"/>
      <w:spacing w:beforeLines="50" w:afterLines="50"/>
      <w:jc w:val="both"/>
      <w:textAlignment w:val="baseline"/>
      <w:outlineLvl w:val="1"/>
    </w:pPr>
    <w:rPr>
      <w:rFonts w:ascii="黑体" w:hAnsi="Times New Roman" w:eastAsia="黑体" w:cs="黑体"/>
      <w:kern w:val="21"/>
      <w:sz w:val="21"/>
      <w:szCs w:val="21"/>
      <w:lang w:val="en-US" w:eastAsia="zh-CN" w:bidi="ar-SA"/>
    </w:rPr>
  </w:style>
  <w:style w:type="paragraph" w:customStyle="1" w:styleId="214">
    <w:name w:val="标准文件_公式后的破折号"/>
    <w:basedOn w:val="183"/>
    <w:next w:val="183"/>
    <w:qFormat/>
    <w:uiPriority w:val="99"/>
    <w:pPr>
      <w:ind w:left="488" w:leftChars="200" w:hanging="289" w:hangingChars="290"/>
    </w:pPr>
  </w:style>
  <w:style w:type="paragraph" w:customStyle="1" w:styleId="215">
    <w:name w:val="标准文件_前言、引言标题"/>
    <w:next w:val="1"/>
    <w:qFormat/>
    <w:uiPriority w:val="99"/>
    <w:pPr>
      <w:numPr>
        <w:ilvl w:val="0"/>
        <w:numId w:val="25"/>
      </w:numPr>
      <w:shd w:val="clear" w:color="FFFFFF" w:fill="FFFFFF"/>
      <w:spacing w:afterLines="150"/>
      <w:ind w:left="0" w:firstLine="0"/>
      <w:jc w:val="center"/>
      <w:outlineLvl w:val="0"/>
    </w:pPr>
    <w:rPr>
      <w:rFonts w:ascii="黑体" w:hAnsi="Times New Roman" w:eastAsia="黑体" w:cs="黑体"/>
      <w:sz w:val="32"/>
      <w:szCs w:val="32"/>
      <w:lang w:val="en-US" w:eastAsia="zh-CN" w:bidi="ar-SA"/>
    </w:rPr>
  </w:style>
  <w:style w:type="paragraph" w:customStyle="1" w:styleId="216">
    <w:name w:val="标准文件_目次、标准名称标题"/>
    <w:basedOn w:val="215"/>
    <w:next w:val="183"/>
    <w:qFormat/>
    <w:uiPriority w:val="99"/>
    <w:pPr>
      <w:spacing w:line="460" w:lineRule="exact"/>
    </w:pPr>
  </w:style>
  <w:style w:type="paragraph" w:customStyle="1" w:styleId="217">
    <w:name w:val="标准文件_目录标题"/>
    <w:basedOn w:val="1"/>
    <w:qFormat/>
    <w:uiPriority w:val="99"/>
    <w:pPr>
      <w:adjustRightInd w:val="0"/>
      <w:spacing w:afterLines="150"/>
      <w:jc w:val="center"/>
    </w:pPr>
    <w:rPr>
      <w:rFonts w:ascii="黑体" w:hAnsi="Calibri" w:eastAsia="黑体" w:cs="黑体"/>
      <w:sz w:val="32"/>
      <w:szCs w:val="32"/>
    </w:rPr>
  </w:style>
  <w:style w:type="paragraph" w:customStyle="1" w:styleId="218">
    <w:name w:val="标准文件_破折号列项"/>
    <w:qFormat/>
    <w:uiPriority w:val="99"/>
    <w:pPr>
      <w:numPr>
        <w:ilvl w:val="0"/>
        <w:numId w:val="26"/>
      </w:numPr>
      <w:adjustRightInd w:val="0"/>
      <w:snapToGrid w:val="0"/>
      <w:ind w:left="0" w:firstLine="200" w:firstLineChars="200"/>
    </w:pPr>
    <w:rPr>
      <w:rFonts w:ascii="Times New Roman" w:hAnsi="Times New Roman" w:eastAsia="宋体" w:cs="Times New Roman"/>
      <w:sz w:val="21"/>
      <w:szCs w:val="21"/>
      <w:lang w:val="en-US" w:eastAsia="zh-CN" w:bidi="ar-SA"/>
    </w:rPr>
  </w:style>
  <w:style w:type="paragraph" w:customStyle="1" w:styleId="219">
    <w:name w:val="标准文件_破折号列项（二级）"/>
    <w:basedOn w:val="218"/>
    <w:qFormat/>
    <w:uiPriority w:val="99"/>
    <w:pPr>
      <w:numPr>
        <w:numId w:val="27"/>
      </w:numPr>
      <w:ind w:left="0" w:firstLine="200"/>
    </w:pPr>
  </w:style>
  <w:style w:type="paragraph" w:customStyle="1" w:styleId="220">
    <w:name w:val="标准文件_三级条标题"/>
    <w:basedOn w:val="192"/>
    <w:next w:val="183"/>
    <w:qFormat/>
    <w:uiPriority w:val="99"/>
    <w:pPr>
      <w:widowControl/>
      <w:numPr>
        <w:ilvl w:val="4"/>
      </w:numPr>
      <w:outlineLvl w:val="3"/>
    </w:pPr>
  </w:style>
  <w:style w:type="character" w:customStyle="1" w:styleId="221">
    <w:name w:val="不明显参考1"/>
    <w:qFormat/>
    <w:uiPriority w:val="99"/>
    <w:rPr>
      <w:smallCaps/>
      <w:color w:val="auto"/>
      <w:u w:val="single"/>
    </w:rPr>
  </w:style>
  <w:style w:type="paragraph" w:customStyle="1" w:styleId="222">
    <w:name w:val="标准文件_示例后续"/>
    <w:basedOn w:val="1"/>
    <w:qFormat/>
    <w:uiPriority w:val="99"/>
    <w:pPr>
      <w:ind w:firstLine="200" w:firstLineChars="200"/>
    </w:pPr>
    <w:rPr>
      <w:rFonts w:ascii="Calibri" w:hAnsi="Calibri" w:cs="Calibri"/>
      <w:sz w:val="18"/>
      <w:szCs w:val="18"/>
    </w:rPr>
  </w:style>
  <w:style w:type="paragraph" w:customStyle="1" w:styleId="223">
    <w:name w:val="标准文件_数字编号列项"/>
    <w:qFormat/>
    <w:uiPriority w:val="99"/>
    <w:pPr>
      <w:numPr>
        <w:ilvl w:val="0"/>
        <w:numId w:val="28"/>
      </w:numPr>
      <w:jc w:val="both"/>
    </w:pPr>
    <w:rPr>
      <w:rFonts w:ascii="宋体" w:hAnsi="宋体" w:eastAsia="宋体" w:cs="宋体"/>
      <w:sz w:val="21"/>
      <w:szCs w:val="21"/>
      <w:lang w:val="en-US" w:eastAsia="zh-CN" w:bidi="ar-SA"/>
    </w:rPr>
  </w:style>
  <w:style w:type="paragraph" w:customStyle="1" w:styleId="224">
    <w:name w:val="标准文件_四级条标题"/>
    <w:next w:val="183"/>
    <w:qFormat/>
    <w:uiPriority w:val="99"/>
    <w:pPr>
      <w:widowControl w:val="0"/>
      <w:numPr>
        <w:ilvl w:val="5"/>
        <w:numId w:val="20"/>
      </w:numPr>
      <w:spacing w:beforeLines="50" w:afterLines="50"/>
      <w:jc w:val="both"/>
      <w:outlineLvl w:val="4"/>
    </w:pPr>
    <w:rPr>
      <w:rFonts w:ascii="黑体" w:hAnsi="Times New Roman" w:eastAsia="黑体" w:cs="黑体"/>
      <w:sz w:val="21"/>
      <w:szCs w:val="21"/>
      <w:lang w:val="en-US" w:eastAsia="zh-CN" w:bidi="ar-SA"/>
    </w:rPr>
  </w:style>
  <w:style w:type="paragraph" w:customStyle="1" w:styleId="225">
    <w:name w:val="标准文件_条文脚注"/>
    <w:basedOn w:val="35"/>
    <w:qFormat/>
    <w:uiPriority w:val="99"/>
    <w:pPr>
      <w:numPr>
        <w:numId w:val="0"/>
      </w:numPr>
      <w:tabs>
        <w:tab w:val="clear" w:pos="0"/>
      </w:tabs>
      <w:adjustRightInd w:val="0"/>
      <w:ind w:firstLine="200" w:firstLineChars="200"/>
      <w:jc w:val="both"/>
    </w:pPr>
    <w:rPr>
      <w:rFonts w:hAnsi="宋体"/>
    </w:rPr>
  </w:style>
  <w:style w:type="paragraph" w:customStyle="1" w:styleId="226">
    <w:name w:val="标准文件_图表脚注"/>
    <w:basedOn w:val="1"/>
    <w:next w:val="183"/>
    <w:qFormat/>
    <w:uiPriority w:val="99"/>
    <w:pPr>
      <w:numPr>
        <w:ilvl w:val="0"/>
        <w:numId w:val="29"/>
      </w:numPr>
      <w:adjustRightInd w:val="0"/>
      <w:jc w:val="left"/>
    </w:pPr>
    <w:rPr>
      <w:rFonts w:ascii="宋体" w:hAnsi="宋体" w:cs="宋体"/>
      <w:sz w:val="18"/>
      <w:szCs w:val="18"/>
    </w:rPr>
  </w:style>
  <w:style w:type="character" w:customStyle="1" w:styleId="227">
    <w:name w:val="标准文件_图表脚注内容"/>
    <w:qFormat/>
    <w:uiPriority w:val="99"/>
    <w:rPr>
      <w:rFonts w:ascii="宋体" w:hAnsi="宋体" w:eastAsia="宋体" w:cs="宋体"/>
      <w:spacing w:val="0"/>
      <w:sz w:val="18"/>
      <w:szCs w:val="18"/>
      <w:vertAlign w:val="superscript"/>
    </w:rPr>
  </w:style>
  <w:style w:type="paragraph" w:customStyle="1" w:styleId="228">
    <w:name w:val="标准文件_五级条标题"/>
    <w:next w:val="183"/>
    <w:qFormat/>
    <w:uiPriority w:val="99"/>
    <w:pPr>
      <w:widowControl w:val="0"/>
      <w:numPr>
        <w:ilvl w:val="6"/>
        <w:numId w:val="20"/>
      </w:numPr>
      <w:spacing w:beforeLines="50" w:afterLines="50"/>
      <w:jc w:val="both"/>
      <w:outlineLvl w:val="5"/>
    </w:pPr>
    <w:rPr>
      <w:rFonts w:ascii="黑体" w:hAnsi="Times New Roman" w:eastAsia="黑体" w:cs="黑体"/>
      <w:sz w:val="21"/>
      <w:szCs w:val="21"/>
      <w:lang w:val="en-US" w:eastAsia="zh-CN" w:bidi="ar-SA"/>
    </w:rPr>
  </w:style>
  <w:style w:type="paragraph" w:customStyle="1" w:styleId="229">
    <w:name w:val="标准文件_章标题"/>
    <w:next w:val="183"/>
    <w:qFormat/>
    <w:uiPriority w:val="99"/>
    <w:pPr>
      <w:numPr>
        <w:ilvl w:val="1"/>
        <w:numId w:val="20"/>
      </w:numPr>
      <w:spacing w:beforeLines="100" w:afterLines="100"/>
      <w:jc w:val="both"/>
      <w:outlineLvl w:val="0"/>
    </w:pPr>
    <w:rPr>
      <w:rFonts w:ascii="黑体" w:hAnsi="Times New Roman" w:eastAsia="黑体" w:cs="黑体"/>
      <w:sz w:val="21"/>
      <w:szCs w:val="21"/>
      <w:lang w:val="en-US" w:eastAsia="zh-CN" w:bidi="ar-SA"/>
    </w:rPr>
  </w:style>
  <w:style w:type="paragraph" w:customStyle="1" w:styleId="230">
    <w:name w:val="标准文件_一级条标题"/>
    <w:basedOn w:val="229"/>
    <w:next w:val="183"/>
    <w:qFormat/>
    <w:uiPriority w:val="99"/>
    <w:pPr>
      <w:numPr>
        <w:ilvl w:val="2"/>
      </w:numPr>
      <w:spacing w:beforeLines="50" w:afterLines="50"/>
      <w:outlineLvl w:val="1"/>
    </w:pPr>
  </w:style>
  <w:style w:type="paragraph" w:customStyle="1" w:styleId="231">
    <w:name w:val="标准文件_一致程度"/>
    <w:basedOn w:val="1"/>
    <w:qFormat/>
    <w:uiPriority w:val="99"/>
    <w:pPr>
      <w:adjustRightInd w:val="0"/>
      <w:spacing w:line="440" w:lineRule="exact"/>
      <w:jc w:val="center"/>
    </w:pPr>
    <w:rPr>
      <w:rFonts w:ascii="Calibri" w:hAnsi="Calibri" w:cs="Calibri"/>
      <w:sz w:val="28"/>
      <w:szCs w:val="28"/>
    </w:rPr>
  </w:style>
  <w:style w:type="paragraph" w:customStyle="1" w:styleId="232">
    <w:name w:val="标准文件_引言标题"/>
    <w:next w:val="1"/>
    <w:qFormat/>
    <w:uiPriority w:val="99"/>
    <w:pPr>
      <w:shd w:val="clear" w:color="FFFFFF" w:fill="FFFFFF"/>
      <w:spacing w:before="540" w:after="600"/>
      <w:jc w:val="center"/>
      <w:outlineLvl w:val="0"/>
    </w:pPr>
    <w:rPr>
      <w:rFonts w:ascii="黑体" w:hAnsi="Times New Roman" w:eastAsia="黑体" w:cs="黑体"/>
      <w:sz w:val="32"/>
      <w:szCs w:val="32"/>
      <w:lang w:val="en-US" w:eastAsia="zh-CN" w:bidi="ar-SA"/>
    </w:rPr>
  </w:style>
  <w:style w:type="paragraph" w:customStyle="1" w:styleId="233">
    <w:name w:val="标准文件_英文图表脚注"/>
    <w:basedOn w:val="182"/>
    <w:qFormat/>
    <w:uiPriority w:val="99"/>
    <w:pPr>
      <w:widowControl/>
      <w:adjustRightInd/>
      <w:snapToGrid/>
      <w:spacing w:line="240" w:lineRule="auto"/>
      <w:ind w:left="79" w:hanging="79" w:hangingChars="80"/>
    </w:pPr>
    <w:rPr>
      <w:rFonts w:ascii="宋体" w:hAnsi="宋体" w:cs="宋体"/>
    </w:rPr>
  </w:style>
  <w:style w:type="paragraph" w:customStyle="1" w:styleId="234">
    <w:name w:val="标准文件_数字编号列项（二级）"/>
    <w:qFormat/>
    <w:uiPriority w:val="99"/>
    <w:pPr>
      <w:numPr>
        <w:ilvl w:val="1"/>
        <w:numId w:val="30"/>
      </w:numPr>
      <w:tabs>
        <w:tab w:val="left" w:pos="851"/>
      </w:tabs>
      <w:jc w:val="both"/>
    </w:pPr>
    <w:rPr>
      <w:rFonts w:ascii="宋体" w:hAnsi="Times New Roman" w:eastAsia="宋体" w:cs="宋体"/>
      <w:sz w:val="21"/>
      <w:szCs w:val="21"/>
      <w:lang w:val="en-US" w:eastAsia="zh-CN" w:bidi="ar-SA"/>
    </w:rPr>
  </w:style>
  <w:style w:type="paragraph" w:customStyle="1" w:styleId="235">
    <w:name w:val="标准文件_英文注："/>
    <w:basedOn w:val="1"/>
    <w:next w:val="183"/>
    <w:qFormat/>
    <w:uiPriority w:val="99"/>
    <w:pPr>
      <w:numPr>
        <w:ilvl w:val="0"/>
        <w:numId w:val="31"/>
      </w:numPr>
      <w:tabs>
        <w:tab w:val="left" w:pos="420"/>
      </w:tabs>
      <w:autoSpaceDE w:val="0"/>
      <w:autoSpaceDN w:val="0"/>
      <w:adjustRightInd w:val="0"/>
    </w:pPr>
    <w:rPr>
      <w:rFonts w:ascii="宋体" w:hAnsi="宋体" w:cs="宋体"/>
      <w:kern w:val="0"/>
      <w:sz w:val="18"/>
      <w:szCs w:val="18"/>
    </w:rPr>
  </w:style>
  <w:style w:type="paragraph" w:customStyle="1" w:styleId="236">
    <w:name w:val="标准文件_英文注×："/>
    <w:basedOn w:val="1"/>
    <w:qFormat/>
    <w:uiPriority w:val="99"/>
    <w:pPr>
      <w:numPr>
        <w:ilvl w:val="0"/>
        <w:numId w:val="32"/>
      </w:numPr>
      <w:tabs>
        <w:tab w:val="left" w:pos="210"/>
      </w:tabs>
      <w:autoSpaceDE w:val="0"/>
      <w:autoSpaceDN w:val="0"/>
      <w:adjustRightInd w:val="0"/>
    </w:pPr>
    <w:rPr>
      <w:rFonts w:ascii="宋体" w:hAnsi="宋体" w:cs="宋体"/>
      <w:kern w:val="0"/>
    </w:rPr>
  </w:style>
  <w:style w:type="paragraph" w:customStyle="1" w:styleId="237">
    <w:name w:val="标准文件_正文公式"/>
    <w:basedOn w:val="1"/>
    <w:next w:val="182"/>
    <w:qFormat/>
    <w:uiPriority w:val="99"/>
    <w:pPr>
      <w:tabs>
        <w:tab w:val="center" w:pos="4678"/>
        <w:tab w:val="center" w:pos="9356"/>
      </w:tabs>
      <w:adjustRightInd w:val="0"/>
    </w:pPr>
    <w:rPr>
      <w:rFonts w:ascii="宋体" w:hAnsi="宋体" w:cs="宋体"/>
    </w:rPr>
  </w:style>
  <w:style w:type="paragraph" w:customStyle="1" w:styleId="238">
    <w:name w:val="标准文件_正文图标题"/>
    <w:next w:val="183"/>
    <w:qFormat/>
    <w:uiPriority w:val="99"/>
    <w:pPr>
      <w:spacing w:beforeLines="50" w:afterLines="50"/>
      <w:jc w:val="center"/>
    </w:pPr>
    <w:rPr>
      <w:rFonts w:ascii="黑体" w:hAnsi="Times New Roman" w:eastAsia="黑体" w:cs="黑体"/>
      <w:sz w:val="21"/>
      <w:szCs w:val="21"/>
      <w:lang w:val="en-US" w:eastAsia="zh-CN" w:bidi="ar-SA"/>
    </w:rPr>
  </w:style>
  <w:style w:type="paragraph" w:customStyle="1" w:styleId="239">
    <w:name w:val="标准文件_正文英文表标题"/>
    <w:next w:val="183"/>
    <w:qFormat/>
    <w:uiPriority w:val="99"/>
    <w:pPr>
      <w:numPr>
        <w:ilvl w:val="0"/>
        <w:numId w:val="33"/>
      </w:numPr>
      <w:jc w:val="center"/>
    </w:pPr>
    <w:rPr>
      <w:rFonts w:ascii="黑体" w:hAnsi="Times New Roman" w:eastAsia="黑体" w:cs="黑体"/>
      <w:sz w:val="21"/>
      <w:szCs w:val="21"/>
      <w:lang w:val="en-US" w:eastAsia="zh-CN" w:bidi="ar-SA"/>
    </w:rPr>
  </w:style>
  <w:style w:type="paragraph" w:customStyle="1" w:styleId="240">
    <w:name w:val="标准文件_正文英文图标题"/>
    <w:next w:val="183"/>
    <w:qFormat/>
    <w:uiPriority w:val="99"/>
    <w:pPr>
      <w:numPr>
        <w:ilvl w:val="0"/>
        <w:numId w:val="34"/>
      </w:numPr>
      <w:jc w:val="center"/>
    </w:pPr>
    <w:rPr>
      <w:rFonts w:ascii="黑体" w:hAnsi="Times New Roman" w:eastAsia="黑体" w:cs="黑体"/>
      <w:sz w:val="21"/>
      <w:szCs w:val="21"/>
      <w:lang w:val="en-US" w:eastAsia="zh-CN" w:bidi="ar-SA"/>
    </w:rPr>
  </w:style>
  <w:style w:type="paragraph" w:customStyle="1" w:styleId="241">
    <w:name w:val="标准文件_编号列项（三级）"/>
    <w:qFormat/>
    <w:uiPriority w:val="99"/>
    <w:pPr>
      <w:numPr>
        <w:ilvl w:val="2"/>
        <w:numId w:val="30"/>
      </w:numPr>
      <w:tabs>
        <w:tab w:val="left" w:pos="851"/>
      </w:tabs>
    </w:pPr>
    <w:rPr>
      <w:rFonts w:ascii="宋体" w:hAnsi="Times New Roman" w:eastAsia="宋体" w:cs="宋体"/>
      <w:sz w:val="21"/>
      <w:szCs w:val="21"/>
      <w:lang w:val="en-US" w:eastAsia="zh-CN" w:bidi="ar-SA"/>
    </w:rPr>
  </w:style>
  <w:style w:type="paragraph" w:customStyle="1" w:styleId="242">
    <w:name w:val="二级无标题条"/>
    <w:basedOn w:val="1"/>
    <w:qFormat/>
    <w:uiPriority w:val="99"/>
    <w:pPr>
      <w:numPr>
        <w:ilvl w:val="3"/>
        <w:numId w:val="35"/>
      </w:numPr>
    </w:pPr>
    <w:rPr>
      <w:rFonts w:ascii="宋体" w:hAnsi="宋体" w:cs="宋体"/>
    </w:rPr>
  </w:style>
  <w:style w:type="paragraph" w:customStyle="1" w:styleId="243">
    <w:name w:val="附录二级无标题条"/>
    <w:basedOn w:val="1"/>
    <w:next w:val="183"/>
    <w:qFormat/>
    <w:uiPriority w:val="99"/>
    <w:pPr>
      <w:widowControl/>
      <w:wordWrap w:val="0"/>
      <w:overflowPunct w:val="0"/>
      <w:autoSpaceDE w:val="0"/>
      <w:autoSpaceDN w:val="0"/>
      <w:textAlignment w:val="baseline"/>
      <w:outlineLvl w:val="3"/>
    </w:pPr>
    <w:rPr>
      <w:rFonts w:ascii="宋体" w:hAnsi="宋体" w:cs="宋体"/>
      <w:kern w:val="21"/>
    </w:rPr>
  </w:style>
  <w:style w:type="paragraph" w:customStyle="1" w:styleId="244">
    <w:name w:val="附录三级无标题条"/>
    <w:basedOn w:val="243"/>
    <w:next w:val="183"/>
    <w:qFormat/>
    <w:uiPriority w:val="99"/>
    <w:pPr>
      <w:outlineLvl w:val="4"/>
    </w:pPr>
  </w:style>
  <w:style w:type="paragraph" w:customStyle="1" w:styleId="245">
    <w:name w:val="附录四级无标题条"/>
    <w:basedOn w:val="244"/>
    <w:next w:val="183"/>
    <w:qFormat/>
    <w:uiPriority w:val="99"/>
    <w:pPr>
      <w:outlineLvl w:val="5"/>
    </w:pPr>
  </w:style>
  <w:style w:type="paragraph" w:customStyle="1" w:styleId="246">
    <w:name w:val="附录图"/>
    <w:next w:val="183"/>
    <w:qFormat/>
    <w:uiPriority w:val="99"/>
    <w:pPr>
      <w:wordWrap w:val="0"/>
      <w:overflowPunct w:val="0"/>
      <w:autoSpaceDE w:val="0"/>
      <w:spacing w:beforeLines="50" w:afterLines="50"/>
      <w:jc w:val="center"/>
      <w:textAlignment w:val="baseline"/>
      <w:outlineLvl w:val="1"/>
    </w:pPr>
    <w:rPr>
      <w:rFonts w:ascii="黑体" w:hAnsi="Times New Roman" w:eastAsia="黑体" w:cs="黑体"/>
      <w:kern w:val="21"/>
      <w:sz w:val="21"/>
      <w:szCs w:val="21"/>
      <w:lang w:val="en-US" w:eastAsia="zh-CN" w:bidi="ar-SA"/>
    </w:rPr>
  </w:style>
  <w:style w:type="paragraph" w:customStyle="1" w:styleId="247">
    <w:name w:val="标准文件_一级项"/>
    <w:qFormat/>
    <w:uiPriority w:val="99"/>
    <w:pPr>
      <w:tabs>
        <w:tab w:val="left" w:pos="851"/>
      </w:tabs>
      <w:ind w:left="851" w:hanging="426"/>
    </w:pPr>
    <w:rPr>
      <w:rFonts w:ascii="宋体" w:hAnsi="Times New Roman" w:eastAsia="宋体" w:cs="宋体"/>
      <w:sz w:val="21"/>
      <w:szCs w:val="21"/>
      <w:lang w:val="en-US" w:eastAsia="zh-CN" w:bidi="ar-SA"/>
    </w:rPr>
  </w:style>
  <w:style w:type="paragraph" w:customStyle="1" w:styleId="248">
    <w:name w:val="附录五级无标题条"/>
    <w:basedOn w:val="245"/>
    <w:next w:val="183"/>
    <w:qFormat/>
    <w:uiPriority w:val="99"/>
    <w:pPr>
      <w:outlineLvl w:val="6"/>
    </w:pPr>
  </w:style>
  <w:style w:type="paragraph" w:customStyle="1" w:styleId="249">
    <w:name w:val="附录性质"/>
    <w:basedOn w:val="1"/>
    <w:qFormat/>
    <w:uiPriority w:val="99"/>
    <w:pPr>
      <w:widowControl/>
      <w:spacing w:line="400" w:lineRule="exact"/>
      <w:jc w:val="center"/>
    </w:pPr>
    <w:rPr>
      <w:rFonts w:ascii="黑体" w:hAnsi="Calibri" w:eastAsia="黑体" w:cs="黑体"/>
    </w:rPr>
  </w:style>
  <w:style w:type="paragraph" w:customStyle="1" w:styleId="250">
    <w:name w:val="附录一级无标题条"/>
    <w:basedOn w:val="213"/>
    <w:next w:val="183"/>
    <w:qFormat/>
    <w:uiPriority w:val="99"/>
    <w:pPr>
      <w:autoSpaceDN w:val="0"/>
      <w:outlineLvl w:val="2"/>
    </w:pPr>
    <w:rPr>
      <w:rFonts w:ascii="宋体" w:hAnsi="宋体" w:eastAsia="宋体" w:cs="宋体"/>
    </w:rPr>
  </w:style>
  <w:style w:type="character" w:customStyle="1" w:styleId="251">
    <w:name w:val="个人答复风格"/>
    <w:qFormat/>
    <w:uiPriority w:val="99"/>
    <w:rPr>
      <w:rFonts w:ascii="Arial" w:hAnsi="Arial" w:eastAsia="宋体" w:cs="Arial"/>
      <w:color w:val="auto"/>
      <w:spacing w:val="0"/>
      <w:sz w:val="20"/>
      <w:szCs w:val="20"/>
    </w:rPr>
  </w:style>
  <w:style w:type="character" w:customStyle="1" w:styleId="252">
    <w:name w:val="个人撰写风格"/>
    <w:qFormat/>
    <w:uiPriority w:val="99"/>
    <w:rPr>
      <w:rFonts w:ascii="Arial" w:hAnsi="Arial" w:eastAsia="宋体" w:cs="Arial"/>
      <w:color w:val="auto"/>
      <w:spacing w:val="0"/>
      <w:sz w:val="20"/>
      <w:szCs w:val="20"/>
    </w:rPr>
  </w:style>
  <w:style w:type="paragraph" w:customStyle="1" w:styleId="253">
    <w:name w:val="脚注后续"/>
    <w:qFormat/>
    <w:uiPriority w:val="99"/>
    <w:pPr>
      <w:ind w:left="350" w:leftChars="350"/>
      <w:jc w:val="both"/>
    </w:pPr>
    <w:rPr>
      <w:rFonts w:ascii="宋体" w:hAnsi="Times New Roman" w:eastAsia="宋体" w:cs="宋体"/>
      <w:sz w:val="18"/>
      <w:szCs w:val="18"/>
      <w:lang w:val="en-US" w:eastAsia="zh-CN" w:bidi="ar-SA"/>
    </w:rPr>
  </w:style>
  <w:style w:type="paragraph" w:customStyle="1" w:styleId="254">
    <w:name w:val="列项——"/>
    <w:qFormat/>
    <w:uiPriority w:val="99"/>
    <w:pPr>
      <w:widowControl w:val="0"/>
      <w:numPr>
        <w:ilvl w:val="0"/>
        <w:numId w:val="36"/>
      </w:numPr>
      <w:jc w:val="both"/>
    </w:pPr>
    <w:rPr>
      <w:rFonts w:ascii="宋体" w:hAnsi="宋体" w:eastAsia="宋体" w:cs="宋体"/>
      <w:sz w:val="21"/>
      <w:szCs w:val="21"/>
      <w:lang w:val="en-US" w:eastAsia="zh-CN" w:bidi="ar-SA"/>
    </w:rPr>
  </w:style>
  <w:style w:type="paragraph" w:customStyle="1" w:styleId="255">
    <w:name w:val="列项·"/>
    <w:basedOn w:val="183"/>
    <w:qFormat/>
    <w:uiPriority w:val="99"/>
    <w:pPr>
      <w:tabs>
        <w:tab w:val="left" w:pos="840"/>
      </w:tabs>
    </w:pPr>
  </w:style>
  <w:style w:type="paragraph" w:customStyle="1" w:styleId="256">
    <w:name w:val="目录 21"/>
    <w:basedOn w:val="1"/>
    <w:next w:val="1"/>
    <w:semiHidden/>
    <w:qFormat/>
    <w:uiPriority w:val="99"/>
    <w:pPr>
      <w:jc w:val="left"/>
    </w:pPr>
    <w:rPr>
      <w:rFonts w:ascii="Calibri" w:hAnsi="Calibri" w:cs="Calibri"/>
    </w:rPr>
  </w:style>
  <w:style w:type="paragraph" w:customStyle="1" w:styleId="257">
    <w:name w:val="目录 31"/>
    <w:basedOn w:val="1"/>
    <w:next w:val="1"/>
    <w:semiHidden/>
    <w:qFormat/>
    <w:uiPriority w:val="99"/>
    <w:pPr>
      <w:adjustRightInd w:val="0"/>
    </w:pPr>
    <w:rPr>
      <w:rFonts w:ascii="宋体" w:hAnsi="宋体" w:cs="宋体"/>
    </w:rPr>
  </w:style>
  <w:style w:type="paragraph" w:customStyle="1" w:styleId="258">
    <w:name w:val="目录 41"/>
    <w:basedOn w:val="1"/>
    <w:next w:val="1"/>
    <w:semiHidden/>
    <w:qFormat/>
    <w:uiPriority w:val="99"/>
    <w:pPr>
      <w:jc w:val="left"/>
    </w:pPr>
    <w:rPr>
      <w:rFonts w:ascii="Calibri" w:hAnsi="Calibri" w:cs="Calibri"/>
    </w:rPr>
  </w:style>
  <w:style w:type="paragraph" w:customStyle="1" w:styleId="259">
    <w:name w:val="目录 51"/>
    <w:basedOn w:val="1"/>
    <w:next w:val="1"/>
    <w:semiHidden/>
    <w:qFormat/>
    <w:uiPriority w:val="99"/>
    <w:pPr>
      <w:adjustRightInd w:val="0"/>
    </w:pPr>
    <w:rPr>
      <w:rFonts w:ascii="宋体" w:hAnsi="宋体" w:cs="宋体"/>
    </w:rPr>
  </w:style>
  <w:style w:type="paragraph" w:customStyle="1" w:styleId="260">
    <w:name w:val="目录 61"/>
    <w:basedOn w:val="1"/>
    <w:next w:val="1"/>
    <w:semiHidden/>
    <w:qFormat/>
    <w:uiPriority w:val="99"/>
    <w:pPr>
      <w:jc w:val="left"/>
    </w:pPr>
    <w:rPr>
      <w:rFonts w:ascii="Calibri" w:hAnsi="Calibri" w:cs="Calibri"/>
    </w:rPr>
  </w:style>
  <w:style w:type="paragraph" w:customStyle="1" w:styleId="261">
    <w:name w:val="目录 71"/>
    <w:basedOn w:val="260"/>
    <w:semiHidden/>
    <w:qFormat/>
    <w:uiPriority w:val="99"/>
    <w:pPr>
      <w:ind w:left="1260"/>
    </w:pPr>
  </w:style>
  <w:style w:type="paragraph" w:customStyle="1" w:styleId="262">
    <w:name w:val="目录 81"/>
    <w:basedOn w:val="261"/>
    <w:semiHidden/>
    <w:qFormat/>
    <w:uiPriority w:val="99"/>
    <w:pPr>
      <w:ind w:left="1470"/>
    </w:pPr>
  </w:style>
  <w:style w:type="paragraph" w:customStyle="1" w:styleId="263">
    <w:name w:val="目录 91"/>
    <w:basedOn w:val="262"/>
    <w:semiHidden/>
    <w:qFormat/>
    <w:uiPriority w:val="99"/>
    <w:pPr>
      <w:ind w:left="1680"/>
    </w:pPr>
  </w:style>
  <w:style w:type="paragraph" w:customStyle="1" w:styleId="264">
    <w:name w:val="前言标题"/>
    <w:next w:val="1"/>
    <w:qFormat/>
    <w:uiPriority w:val="99"/>
    <w:pPr>
      <w:numPr>
        <w:ilvl w:val="0"/>
        <w:numId w:val="20"/>
      </w:numPr>
      <w:shd w:val="clear" w:color="FFFFFF" w:fill="FFFFFF"/>
      <w:spacing w:before="540" w:after="600"/>
      <w:jc w:val="center"/>
      <w:outlineLvl w:val="0"/>
    </w:pPr>
    <w:rPr>
      <w:rFonts w:ascii="黑体" w:hAnsi="Times New Roman" w:eastAsia="黑体" w:cs="黑体"/>
      <w:sz w:val="32"/>
      <w:szCs w:val="32"/>
      <w:lang w:val="en-US" w:eastAsia="zh-CN" w:bidi="ar-SA"/>
    </w:rPr>
  </w:style>
  <w:style w:type="paragraph" w:customStyle="1" w:styleId="265">
    <w:name w:val="三级无标题条"/>
    <w:basedOn w:val="1"/>
    <w:qFormat/>
    <w:uiPriority w:val="99"/>
    <w:pPr>
      <w:numPr>
        <w:ilvl w:val="4"/>
        <w:numId w:val="35"/>
      </w:numPr>
    </w:pPr>
    <w:rPr>
      <w:rFonts w:ascii="宋体" w:hAnsi="宋体" w:cs="宋体"/>
    </w:rPr>
  </w:style>
  <w:style w:type="paragraph" w:customStyle="1" w:styleId="266">
    <w:name w:val="四级无标题条"/>
    <w:basedOn w:val="1"/>
    <w:qFormat/>
    <w:uiPriority w:val="99"/>
    <w:pPr>
      <w:numPr>
        <w:ilvl w:val="5"/>
        <w:numId w:val="35"/>
      </w:numPr>
    </w:pPr>
    <w:rPr>
      <w:rFonts w:ascii="宋体" w:hAnsi="宋体" w:cs="宋体"/>
    </w:rPr>
  </w:style>
  <w:style w:type="paragraph" w:customStyle="1" w:styleId="267">
    <w:name w:val="无标题条"/>
    <w:next w:val="183"/>
    <w:qFormat/>
    <w:uiPriority w:val="99"/>
    <w:pPr>
      <w:jc w:val="both"/>
    </w:pPr>
    <w:rPr>
      <w:rFonts w:ascii="宋体" w:hAnsi="宋体" w:eastAsia="宋体" w:cs="宋体"/>
      <w:sz w:val="21"/>
      <w:szCs w:val="21"/>
      <w:lang w:val="en-US" w:eastAsia="zh-CN" w:bidi="ar-SA"/>
    </w:rPr>
  </w:style>
  <w:style w:type="paragraph" w:customStyle="1" w:styleId="268">
    <w:name w:val="五级无标题条"/>
    <w:basedOn w:val="1"/>
    <w:qFormat/>
    <w:uiPriority w:val="99"/>
    <w:pPr>
      <w:numPr>
        <w:ilvl w:val="6"/>
        <w:numId w:val="35"/>
      </w:numPr>
      <w:spacing w:line="400" w:lineRule="exact"/>
    </w:pPr>
    <w:rPr>
      <w:rFonts w:ascii="Calibri" w:hAnsi="Calibri" w:cs="Calibri"/>
    </w:rPr>
  </w:style>
  <w:style w:type="paragraph" w:customStyle="1" w:styleId="269">
    <w:name w:val="一级无标题条"/>
    <w:basedOn w:val="1"/>
    <w:qFormat/>
    <w:uiPriority w:val="99"/>
    <w:pPr>
      <w:numPr>
        <w:ilvl w:val="2"/>
        <w:numId w:val="35"/>
      </w:numPr>
      <w:spacing w:before="10" w:after="10"/>
    </w:pPr>
    <w:rPr>
      <w:rFonts w:ascii="宋体" w:hAnsi="宋体" w:cs="宋体"/>
    </w:rPr>
  </w:style>
  <w:style w:type="paragraph" w:customStyle="1" w:styleId="270">
    <w:name w:val="注:后续"/>
    <w:qFormat/>
    <w:uiPriority w:val="99"/>
    <w:pPr>
      <w:spacing w:line="300" w:lineRule="exact"/>
      <w:ind w:left="600" w:leftChars="400" w:hanging="200" w:hangingChars="200"/>
      <w:jc w:val="both"/>
    </w:pPr>
    <w:rPr>
      <w:rFonts w:ascii="宋体" w:hAnsi="Times New Roman" w:eastAsia="宋体" w:cs="宋体"/>
      <w:sz w:val="18"/>
      <w:szCs w:val="18"/>
      <w:lang w:val="en-US" w:eastAsia="zh-CN" w:bidi="ar-SA"/>
    </w:rPr>
  </w:style>
  <w:style w:type="paragraph" w:customStyle="1" w:styleId="271">
    <w:name w:val="注×:后续"/>
    <w:basedOn w:val="270"/>
    <w:qFormat/>
    <w:uiPriority w:val="99"/>
    <w:pPr>
      <w:ind w:left="1406" w:leftChars="0" w:hanging="499" w:firstLineChars="0"/>
    </w:pPr>
  </w:style>
  <w:style w:type="paragraph" w:customStyle="1" w:styleId="272">
    <w:name w:val="标准文件_一级无标题"/>
    <w:basedOn w:val="230"/>
    <w:qFormat/>
    <w:uiPriority w:val="99"/>
    <w:pPr>
      <w:spacing w:beforeLines="0" w:afterLines="0"/>
      <w:outlineLvl w:val="9"/>
    </w:pPr>
    <w:rPr>
      <w:rFonts w:ascii="宋体" w:eastAsia="宋体" w:cs="宋体"/>
    </w:rPr>
  </w:style>
  <w:style w:type="paragraph" w:customStyle="1" w:styleId="273">
    <w:name w:val="标准文件_五级无标题"/>
    <w:basedOn w:val="228"/>
    <w:qFormat/>
    <w:uiPriority w:val="99"/>
    <w:pPr>
      <w:spacing w:beforeLines="0" w:afterLines="0"/>
      <w:outlineLvl w:val="9"/>
    </w:pPr>
    <w:rPr>
      <w:rFonts w:ascii="宋体" w:eastAsia="宋体" w:cs="宋体"/>
    </w:rPr>
  </w:style>
  <w:style w:type="paragraph" w:customStyle="1" w:styleId="274">
    <w:name w:val="标准文件_三级无标题"/>
    <w:basedOn w:val="220"/>
    <w:qFormat/>
    <w:uiPriority w:val="99"/>
    <w:pPr>
      <w:spacing w:beforeLines="0" w:afterLines="0"/>
      <w:outlineLvl w:val="9"/>
    </w:pPr>
    <w:rPr>
      <w:rFonts w:ascii="宋体" w:eastAsia="宋体" w:cs="宋体"/>
    </w:rPr>
  </w:style>
  <w:style w:type="paragraph" w:customStyle="1" w:styleId="275">
    <w:name w:val="标准文件_二级无标题"/>
    <w:basedOn w:val="192"/>
    <w:qFormat/>
    <w:uiPriority w:val="99"/>
    <w:pPr>
      <w:spacing w:beforeLines="0" w:afterLines="0"/>
      <w:outlineLvl w:val="9"/>
    </w:pPr>
    <w:rPr>
      <w:rFonts w:ascii="宋体" w:eastAsia="宋体" w:cs="宋体"/>
    </w:rPr>
  </w:style>
  <w:style w:type="paragraph" w:customStyle="1" w:styleId="276">
    <w:name w:val="标准_四级无标题"/>
    <w:basedOn w:val="224"/>
    <w:next w:val="183"/>
    <w:qFormat/>
    <w:uiPriority w:val="99"/>
    <w:rPr>
      <w:rFonts w:eastAsia="宋体"/>
    </w:rPr>
  </w:style>
  <w:style w:type="paragraph" w:customStyle="1" w:styleId="277">
    <w:name w:val="标准文件_四级无标题"/>
    <w:basedOn w:val="224"/>
    <w:qFormat/>
    <w:uiPriority w:val="99"/>
    <w:pPr>
      <w:spacing w:beforeLines="0" w:afterLines="0"/>
      <w:outlineLvl w:val="9"/>
    </w:pPr>
    <w:rPr>
      <w:rFonts w:ascii="宋体" w:hAnsi="黑体" w:eastAsia="宋体" w:cs="宋体"/>
    </w:rPr>
  </w:style>
  <w:style w:type="paragraph" w:customStyle="1" w:styleId="278">
    <w:name w:val="标准文件_大写罗马数字编号列项"/>
    <w:basedOn w:val="183"/>
    <w:qFormat/>
    <w:uiPriority w:val="99"/>
    <w:pPr>
      <w:numPr>
        <w:ilvl w:val="0"/>
        <w:numId w:val="37"/>
      </w:numPr>
      <w:tabs>
        <w:tab w:val="left" w:pos="840"/>
        <w:tab w:val="clear" w:pos="851"/>
      </w:tabs>
      <w:ind w:left="839" w:firstLine="0" w:firstLineChars="0"/>
    </w:pPr>
    <w:rPr>
      <w:rFonts w:ascii="Times New Roman"/>
    </w:rPr>
  </w:style>
  <w:style w:type="paragraph" w:customStyle="1" w:styleId="279">
    <w:name w:val="标准文件_小写罗马数字编号列项"/>
    <w:basedOn w:val="183"/>
    <w:qFormat/>
    <w:uiPriority w:val="99"/>
    <w:pPr>
      <w:numPr>
        <w:ilvl w:val="0"/>
        <w:numId w:val="38"/>
      </w:numPr>
      <w:tabs>
        <w:tab w:val="left" w:pos="840"/>
        <w:tab w:val="clear" w:pos="851"/>
      </w:tabs>
      <w:ind w:left="839" w:firstLine="0" w:firstLineChars="0"/>
    </w:pPr>
  </w:style>
  <w:style w:type="paragraph" w:customStyle="1" w:styleId="280">
    <w:name w:val="标准文件_附录标题"/>
    <w:basedOn w:val="203"/>
    <w:qFormat/>
    <w:uiPriority w:val="99"/>
    <w:pPr>
      <w:spacing w:after="280"/>
      <w:outlineLvl w:val="9"/>
    </w:pPr>
  </w:style>
  <w:style w:type="paragraph" w:customStyle="1" w:styleId="281">
    <w:name w:val="标准文件_二级项"/>
    <w:qFormat/>
    <w:uiPriority w:val="99"/>
    <w:rPr>
      <w:rFonts w:ascii="宋体" w:hAnsi="Times New Roman" w:eastAsia="宋体" w:cs="宋体"/>
      <w:sz w:val="21"/>
      <w:szCs w:val="21"/>
      <w:lang w:val="en-US" w:eastAsia="zh-CN" w:bidi="ar-SA"/>
    </w:rPr>
  </w:style>
  <w:style w:type="paragraph" w:customStyle="1" w:styleId="282">
    <w:name w:val="标准文件_三级项"/>
    <w:basedOn w:val="1"/>
    <w:qFormat/>
    <w:uiPriority w:val="99"/>
    <w:pPr>
      <w:adjustRightInd w:val="0"/>
      <w:spacing w:line="536870612" w:lineRule="auto"/>
      <w:ind w:left="851" w:hanging="426"/>
    </w:pPr>
  </w:style>
  <w:style w:type="paragraph" w:customStyle="1" w:styleId="283">
    <w:name w:val="标准文件_字母编号列项（一级）"/>
    <w:qFormat/>
    <w:uiPriority w:val="99"/>
    <w:pPr>
      <w:numPr>
        <w:ilvl w:val="0"/>
        <w:numId w:val="30"/>
      </w:numPr>
      <w:jc w:val="both"/>
    </w:pPr>
    <w:rPr>
      <w:rFonts w:ascii="宋体" w:hAnsi="Times New Roman" w:eastAsia="宋体" w:cs="宋体"/>
      <w:sz w:val="21"/>
      <w:szCs w:val="21"/>
      <w:lang w:val="en-US" w:eastAsia="zh-CN" w:bidi="ar-SA"/>
    </w:rPr>
  </w:style>
  <w:style w:type="paragraph" w:customStyle="1" w:styleId="284">
    <w:name w:val="标准文件_索引字母"/>
    <w:next w:val="183"/>
    <w:qFormat/>
    <w:uiPriority w:val="99"/>
    <w:pPr>
      <w:jc w:val="center"/>
    </w:pPr>
    <w:rPr>
      <w:rFonts w:ascii="宋体" w:hAnsi="Times New Roman" w:eastAsia="宋体" w:cs="宋体"/>
      <w:b/>
      <w:bCs/>
      <w:kern w:val="2"/>
      <w:sz w:val="21"/>
      <w:szCs w:val="21"/>
      <w:lang w:val="en-US" w:eastAsia="zh-CN" w:bidi="ar-SA"/>
    </w:rPr>
  </w:style>
  <w:style w:type="paragraph" w:customStyle="1" w:styleId="285">
    <w:name w:val="标准文件_附录前"/>
    <w:next w:val="183"/>
    <w:qFormat/>
    <w:uiPriority w:val="99"/>
    <w:pPr>
      <w:spacing w:line="20" w:lineRule="atLeast"/>
      <w:ind w:firstLine="200"/>
    </w:pPr>
    <w:rPr>
      <w:rFonts w:ascii="宋体" w:hAnsi="宋体" w:eastAsia="宋体" w:cs="宋体"/>
      <w:kern w:val="2"/>
      <w:sz w:val="10"/>
      <w:szCs w:val="10"/>
      <w:lang w:val="en-US" w:eastAsia="zh-CN" w:bidi="ar-SA"/>
    </w:rPr>
  </w:style>
  <w:style w:type="paragraph" w:customStyle="1" w:styleId="286">
    <w:name w:val="标准文件_正文标准名称"/>
    <w:qFormat/>
    <w:uiPriority w:val="99"/>
    <w:pPr>
      <w:spacing w:beforeLines="20" w:after="640" w:line="400" w:lineRule="exact"/>
      <w:jc w:val="center"/>
    </w:pPr>
    <w:rPr>
      <w:rFonts w:ascii="黑体" w:hAnsi="黑体" w:eastAsia="黑体" w:cs="黑体"/>
      <w:kern w:val="2"/>
      <w:sz w:val="32"/>
      <w:szCs w:val="32"/>
      <w:lang w:val="en-US" w:eastAsia="zh-CN" w:bidi="ar-SA"/>
    </w:rPr>
  </w:style>
  <w:style w:type="paragraph" w:customStyle="1" w:styleId="287">
    <w:name w:val="标准文件_表格"/>
    <w:basedOn w:val="183"/>
    <w:qFormat/>
    <w:uiPriority w:val="99"/>
    <w:pPr>
      <w:ind w:firstLine="0" w:firstLineChars="0"/>
      <w:jc w:val="center"/>
    </w:pPr>
    <w:rPr>
      <w:sz w:val="18"/>
      <w:szCs w:val="18"/>
    </w:rPr>
  </w:style>
  <w:style w:type="paragraph" w:customStyle="1" w:styleId="288">
    <w:name w:val="标准文件_注："/>
    <w:next w:val="183"/>
    <w:qFormat/>
    <w:uiPriority w:val="99"/>
    <w:pPr>
      <w:widowControl w:val="0"/>
      <w:autoSpaceDE w:val="0"/>
      <w:autoSpaceDN w:val="0"/>
      <w:ind w:left="737" w:hanging="374"/>
      <w:jc w:val="both"/>
    </w:pPr>
    <w:rPr>
      <w:rFonts w:ascii="宋体" w:hAnsi="Times New Roman" w:eastAsia="宋体" w:cs="宋体"/>
      <w:sz w:val="18"/>
      <w:szCs w:val="18"/>
      <w:lang w:val="en-US" w:eastAsia="zh-CN" w:bidi="ar-SA"/>
    </w:rPr>
  </w:style>
  <w:style w:type="paragraph" w:customStyle="1" w:styleId="289">
    <w:name w:val="标准文件_注×："/>
    <w:qFormat/>
    <w:uiPriority w:val="99"/>
    <w:pPr>
      <w:widowControl w:val="0"/>
      <w:autoSpaceDE w:val="0"/>
      <w:autoSpaceDN w:val="0"/>
      <w:ind w:left="811" w:hanging="448"/>
      <w:jc w:val="both"/>
    </w:pPr>
    <w:rPr>
      <w:rFonts w:ascii="宋体" w:hAnsi="Times New Roman" w:eastAsia="宋体" w:cs="宋体"/>
      <w:sz w:val="18"/>
      <w:szCs w:val="18"/>
      <w:lang w:val="en-US" w:eastAsia="zh-CN" w:bidi="ar-SA"/>
    </w:rPr>
  </w:style>
  <w:style w:type="paragraph" w:customStyle="1" w:styleId="290">
    <w:name w:val="标准文件_示例："/>
    <w:next w:val="291"/>
    <w:qFormat/>
    <w:uiPriority w:val="99"/>
    <w:pPr>
      <w:widowControl w:val="0"/>
      <w:ind w:firstLine="363"/>
      <w:jc w:val="both"/>
    </w:pPr>
    <w:rPr>
      <w:rFonts w:ascii="宋体" w:hAnsi="Times New Roman" w:eastAsia="宋体" w:cs="宋体"/>
      <w:sz w:val="18"/>
      <w:szCs w:val="18"/>
      <w:lang w:val="en-US" w:eastAsia="zh-CN" w:bidi="ar-SA"/>
    </w:rPr>
  </w:style>
  <w:style w:type="paragraph" w:customStyle="1" w:styleId="291">
    <w:name w:val="标准文件_示例内容"/>
    <w:basedOn w:val="183"/>
    <w:qFormat/>
    <w:uiPriority w:val="99"/>
    <w:pPr>
      <w:ind w:firstLine="420"/>
    </w:pPr>
    <w:rPr>
      <w:sz w:val="18"/>
      <w:szCs w:val="18"/>
    </w:rPr>
  </w:style>
  <w:style w:type="paragraph" w:customStyle="1" w:styleId="292">
    <w:name w:val="标准文件_示例×："/>
    <w:basedOn w:val="1"/>
    <w:next w:val="291"/>
    <w:qFormat/>
    <w:uiPriority w:val="99"/>
    <w:pPr>
      <w:widowControl/>
      <w:ind w:firstLine="363"/>
    </w:pPr>
    <w:rPr>
      <w:rFonts w:ascii="宋体" w:cs="宋体"/>
      <w:kern w:val="0"/>
      <w:sz w:val="18"/>
      <w:szCs w:val="18"/>
    </w:rPr>
  </w:style>
  <w:style w:type="character" w:customStyle="1" w:styleId="293">
    <w:name w:val="标准文件_段 Char"/>
    <w:link w:val="183"/>
    <w:qFormat/>
    <w:locked/>
    <w:uiPriority w:val="99"/>
    <w:rPr>
      <w:rFonts w:ascii="宋体"/>
      <w:sz w:val="21"/>
      <w:szCs w:val="21"/>
      <w:lang w:bidi="ar-SA"/>
    </w:rPr>
  </w:style>
  <w:style w:type="paragraph" w:customStyle="1" w:styleId="294">
    <w:name w:val="标准文件_表格续"/>
    <w:basedOn w:val="183"/>
    <w:next w:val="183"/>
    <w:qFormat/>
    <w:uiPriority w:val="99"/>
    <w:pPr>
      <w:jc w:val="center"/>
    </w:pPr>
    <w:rPr>
      <w:rFonts w:ascii="黑体" w:hAnsi="黑体" w:eastAsia="黑体" w:cs="黑体"/>
    </w:rPr>
  </w:style>
  <w:style w:type="character" w:styleId="295">
    <w:name w:val="Placeholder Text"/>
    <w:basedOn w:val="47"/>
    <w:semiHidden/>
    <w:qFormat/>
    <w:uiPriority w:val="99"/>
    <w:rPr>
      <w:color w:val="808080"/>
    </w:rPr>
  </w:style>
  <w:style w:type="paragraph" w:customStyle="1" w:styleId="296">
    <w:name w:val="标准文件_二级项2"/>
    <w:basedOn w:val="183"/>
    <w:qFormat/>
    <w:uiPriority w:val="99"/>
    <w:pPr>
      <w:tabs>
        <w:tab w:val="left" w:pos="1260"/>
      </w:tabs>
      <w:ind w:left="1271" w:hanging="420" w:firstLineChars="0"/>
    </w:pPr>
  </w:style>
  <w:style w:type="paragraph" w:customStyle="1" w:styleId="297">
    <w:name w:val="标准文件_三级项2"/>
    <w:basedOn w:val="183"/>
    <w:qFormat/>
    <w:uiPriority w:val="99"/>
    <w:pPr>
      <w:numPr>
        <w:ilvl w:val="0"/>
        <w:numId w:val="39"/>
      </w:numPr>
      <w:spacing w:line="300" w:lineRule="exact"/>
      <w:ind w:left="1276" w:hanging="425" w:firstLineChars="0"/>
    </w:pPr>
    <w:rPr>
      <w:rFonts w:ascii="Times New Roman"/>
    </w:rPr>
  </w:style>
  <w:style w:type="paragraph" w:customStyle="1" w:styleId="298">
    <w:name w:val="标准文件_一级项2"/>
    <w:basedOn w:val="183"/>
    <w:qFormat/>
    <w:uiPriority w:val="99"/>
    <w:pPr>
      <w:numPr>
        <w:ilvl w:val="0"/>
        <w:numId w:val="40"/>
      </w:numPr>
      <w:spacing w:line="300" w:lineRule="exact"/>
      <w:ind w:left="1271" w:hanging="420" w:firstLineChars="0"/>
    </w:pPr>
    <w:rPr>
      <w:rFonts w:ascii="Times New Roman"/>
    </w:rPr>
  </w:style>
  <w:style w:type="paragraph" w:customStyle="1" w:styleId="299">
    <w:name w:val="标准文件_提示"/>
    <w:basedOn w:val="183"/>
    <w:next w:val="183"/>
    <w:qFormat/>
    <w:uiPriority w:val="99"/>
    <w:pPr>
      <w:ind w:firstLine="420"/>
    </w:pPr>
    <w:rPr>
      <w:rFonts w:ascii="黑体" w:eastAsia="黑体" w:cs="黑体"/>
    </w:rPr>
  </w:style>
  <w:style w:type="character" w:customStyle="1" w:styleId="300">
    <w:name w:val="标准文件_来源"/>
    <w:basedOn w:val="47"/>
    <w:qFormat/>
    <w:uiPriority w:val="99"/>
    <w:rPr>
      <w:rFonts w:eastAsia="宋体"/>
      <w:sz w:val="21"/>
      <w:szCs w:val="21"/>
    </w:rPr>
  </w:style>
  <w:style w:type="paragraph" w:customStyle="1" w:styleId="301">
    <w:name w:val="标准文件_图表说明"/>
    <w:qFormat/>
    <w:uiPriority w:val="99"/>
    <w:pPr>
      <w:spacing w:line="276" w:lineRule="auto"/>
      <w:ind w:firstLine="420"/>
    </w:pPr>
    <w:rPr>
      <w:rFonts w:ascii="宋体" w:hAnsi="宋体" w:eastAsia="宋体" w:cs="宋体"/>
      <w:kern w:val="2"/>
      <w:sz w:val="18"/>
      <w:szCs w:val="18"/>
      <w:lang w:val="en-US" w:eastAsia="zh-CN" w:bidi="ar-SA"/>
    </w:rPr>
  </w:style>
  <w:style w:type="paragraph" w:customStyle="1" w:styleId="302">
    <w:name w:val="标准文件_文件编号"/>
    <w:basedOn w:val="183"/>
    <w:qFormat/>
    <w:uiPriority w:val="99"/>
    <w:pPr>
      <w:framePr w:w="9356" w:h="624" w:hRule="exact" w:hSpace="181" w:vSpace="181" w:wrap="around" w:vAnchor="page" w:hAnchor="page" w:x="1419" w:y="3284"/>
      <w:wordWrap w:val="0"/>
      <w:spacing w:line="280" w:lineRule="exact"/>
      <w:ind w:firstLine="0" w:firstLineChars="0"/>
      <w:jc w:val="right"/>
    </w:pPr>
    <w:rPr>
      <w:rFonts w:ascii="黑体" w:eastAsia="黑体" w:cs="黑体"/>
      <w:sz w:val="28"/>
      <w:szCs w:val="28"/>
    </w:rPr>
  </w:style>
  <w:style w:type="paragraph" w:customStyle="1" w:styleId="303">
    <w:name w:val="标准文件_替换文件编号"/>
    <w:basedOn w:val="302"/>
    <w:qFormat/>
    <w:uiPriority w:val="99"/>
    <w:pPr>
      <w:spacing w:before="57"/>
    </w:pPr>
    <w:rPr>
      <w:sz w:val="21"/>
      <w:szCs w:val="21"/>
    </w:rPr>
  </w:style>
  <w:style w:type="paragraph" w:customStyle="1" w:styleId="304">
    <w:name w:val="标准文件_文件名称"/>
    <w:basedOn w:val="183"/>
    <w:next w:val="183"/>
    <w:qFormat/>
    <w:uiPriority w:val="99"/>
    <w:pPr>
      <w:framePr w:w="9639" w:h="6976" w:hRule="exact" w:wrap="around" w:vAnchor="page" w:hAnchor="page" w:y="6408"/>
      <w:autoSpaceDE/>
      <w:autoSpaceDN/>
      <w:spacing w:line="700" w:lineRule="exact"/>
      <w:ind w:firstLine="0" w:firstLineChars="0"/>
      <w:jc w:val="center"/>
    </w:pPr>
    <w:rPr>
      <w:rFonts w:ascii="黑体" w:hAnsi="黑体" w:eastAsia="黑体" w:cs="黑体"/>
      <w:sz w:val="52"/>
      <w:szCs w:val="52"/>
    </w:rPr>
  </w:style>
  <w:style w:type="paragraph" w:customStyle="1" w:styleId="305">
    <w:name w:val="标准文件_附录图标号"/>
    <w:basedOn w:val="183"/>
    <w:next w:val="183"/>
    <w:qFormat/>
    <w:uiPriority w:val="99"/>
    <w:pPr>
      <w:numPr>
        <w:ilvl w:val="0"/>
        <w:numId w:val="23"/>
      </w:numPr>
      <w:spacing w:line="14" w:lineRule="exact"/>
      <w:ind w:left="726" w:firstLine="0" w:firstLineChars="0"/>
      <w:jc w:val="center"/>
    </w:pPr>
    <w:rPr>
      <w:rFonts w:ascii="黑体" w:hAnsi="黑体" w:eastAsia="黑体" w:cs="黑体"/>
      <w:vanish/>
      <w:sz w:val="2"/>
      <w:szCs w:val="2"/>
    </w:rPr>
  </w:style>
  <w:style w:type="paragraph" w:customStyle="1" w:styleId="306">
    <w:name w:val="标准文件_附录表标号"/>
    <w:basedOn w:val="183"/>
    <w:next w:val="183"/>
    <w:qFormat/>
    <w:uiPriority w:val="99"/>
    <w:pPr>
      <w:numPr>
        <w:ilvl w:val="0"/>
        <w:numId w:val="22"/>
      </w:numPr>
      <w:tabs>
        <w:tab w:val="left" w:pos="840"/>
      </w:tabs>
      <w:spacing w:line="14" w:lineRule="exact"/>
      <w:ind w:left="839" w:firstLine="0" w:firstLineChars="0"/>
      <w:jc w:val="center"/>
    </w:pPr>
    <w:rPr>
      <w:rFonts w:eastAsia="黑体"/>
      <w:vanish/>
      <w:sz w:val="2"/>
      <w:szCs w:val="2"/>
    </w:rPr>
  </w:style>
  <w:style w:type="paragraph" w:customStyle="1" w:styleId="307">
    <w:name w:val="标准文件_引言一级条标题"/>
    <w:basedOn w:val="183"/>
    <w:next w:val="183"/>
    <w:qFormat/>
    <w:uiPriority w:val="99"/>
    <w:pPr>
      <w:numPr>
        <w:ilvl w:val="1"/>
        <w:numId w:val="25"/>
      </w:numPr>
      <w:spacing w:beforeLines="50" w:afterLines="50"/>
      <w:ind w:firstLine="0" w:firstLineChars="0"/>
    </w:pPr>
    <w:rPr>
      <w:rFonts w:ascii="黑体" w:eastAsia="黑体" w:cs="黑体"/>
    </w:rPr>
  </w:style>
  <w:style w:type="paragraph" w:customStyle="1" w:styleId="308">
    <w:name w:val="标准文件_引言二级条标题"/>
    <w:basedOn w:val="183"/>
    <w:next w:val="183"/>
    <w:qFormat/>
    <w:uiPriority w:val="99"/>
    <w:pPr>
      <w:numPr>
        <w:ilvl w:val="2"/>
        <w:numId w:val="25"/>
      </w:numPr>
      <w:spacing w:beforeLines="50" w:afterLines="50"/>
      <w:ind w:firstLine="0" w:firstLineChars="0"/>
    </w:pPr>
    <w:rPr>
      <w:rFonts w:ascii="黑体" w:eastAsia="黑体" w:cs="黑体"/>
    </w:rPr>
  </w:style>
  <w:style w:type="paragraph" w:customStyle="1" w:styleId="309">
    <w:name w:val="标准文件_引言三级条标题"/>
    <w:basedOn w:val="183"/>
    <w:next w:val="183"/>
    <w:qFormat/>
    <w:uiPriority w:val="99"/>
    <w:pPr>
      <w:numPr>
        <w:ilvl w:val="3"/>
        <w:numId w:val="25"/>
      </w:numPr>
      <w:tabs>
        <w:tab w:val="left" w:pos="0"/>
      </w:tabs>
      <w:spacing w:beforeLines="50" w:afterLines="50"/>
      <w:ind w:left="992" w:hanging="629" w:firstLineChars="0"/>
    </w:pPr>
    <w:rPr>
      <w:rFonts w:ascii="黑体" w:eastAsia="黑体" w:cs="黑体"/>
    </w:rPr>
  </w:style>
  <w:style w:type="paragraph" w:customStyle="1" w:styleId="310">
    <w:name w:val="标准文件_引言四级条标题"/>
    <w:basedOn w:val="183"/>
    <w:next w:val="183"/>
    <w:qFormat/>
    <w:uiPriority w:val="99"/>
    <w:pPr>
      <w:numPr>
        <w:ilvl w:val="4"/>
        <w:numId w:val="25"/>
      </w:numPr>
      <w:tabs>
        <w:tab w:val="left" w:pos="0"/>
      </w:tabs>
      <w:spacing w:beforeLines="50" w:afterLines="50"/>
      <w:ind w:left="992" w:hanging="629" w:firstLineChars="0"/>
    </w:pPr>
    <w:rPr>
      <w:rFonts w:ascii="黑体" w:eastAsia="黑体" w:cs="黑体"/>
    </w:rPr>
  </w:style>
  <w:style w:type="paragraph" w:customStyle="1" w:styleId="311">
    <w:name w:val="标准文件_引言五级条标题"/>
    <w:basedOn w:val="183"/>
    <w:next w:val="183"/>
    <w:qFormat/>
    <w:uiPriority w:val="99"/>
    <w:pPr>
      <w:numPr>
        <w:ilvl w:val="5"/>
        <w:numId w:val="25"/>
      </w:numPr>
      <w:tabs>
        <w:tab w:val="left" w:pos="0"/>
      </w:tabs>
      <w:spacing w:beforeLines="50" w:afterLines="50"/>
      <w:ind w:left="992" w:hanging="629" w:firstLineChars="0"/>
    </w:pPr>
    <w:rPr>
      <w:rFonts w:ascii="黑体" w:eastAsia="黑体" w:cs="黑体"/>
    </w:rPr>
  </w:style>
  <w:style w:type="paragraph" w:customStyle="1" w:styleId="312">
    <w:name w:val="标准文件_注后"/>
    <w:basedOn w:val="183"/>
    <w:qFormat/>
    <w:uiPriority w:val="99"/>
    <w:pPr>
      <w:ind w:left="811" w:firstLine="0" w:firstLineChars="0"/>
    </w:pPr>
    <w:rPr>
      <w:sz w:val="18"/>
      <w:szCs w:val="18"/>
    </w:rPr>
  </w:style>
  <w:style w:type="paragraph" w:customStyle="1" w:styleId="313">
    <w:name w:val="标准文件_注X后"/>
    <w:basedOn w:val="183"/>
    <w:qFormat/>
    <w:uiPriority w:val="99"/>
    <w:pPr>
      <w:ind w:left="811" w:firstLine="0" w:firstLineChars="0"/>
    </w:pPr>
    <w:rPr>
      <w:sz w:val="18"/>
      <w:szCs w:val="18"/>
    </w:rPr>
  </w:style>
  <w:style w:type="paragraph" w:customStyle="1" w:styleId="314">
    <w:name w:val="标准文件_示例后"/>
    <w:basedOn w:val="183"/>
    <w:qFormat/>
    <w:uiPriority w:val="99"/>
    <w:pPr>
      <w:ind w:left="964" w:firstLine="0" w:firstLineChars="0"/>
    </w:pPr>
    <w:rPr>
      <w:sz w:val="18"/>
      <w:szCs w:val="18"/>
    </w:rPr>
  </w:style>
  <w:style w:type="paragraph" w:customStyle="1" w:styleId="315">
    <w:name w:val="标准文件_示例X后"/>
    <w:basedOn w:val="183"/>
    <w:link w:val="316"/>
    <w:qFormat/>
    <w:uiPriority w:val="99"/>
    <w:pPr>
      <w:ind w:left="1049" w:firstLine="0" w:firstLineChars="0"/>
    </w:pPr>
    <w:rPr>
      <w:sz w:val="18"/>
      <w:szCs w:val="18"/>
    </w:rPr>
  </w:style>
  <w:style w:type="character" w:customStyle="1" w:styleId="316">
    <w:name w:val="标准文件_示例X后 字符"/>
    <w:basedOn w:val="293"/>
    <w:link w:val="315"/>
    <w:qFormat/>
    <w:locked/>
    <w:uiPriority w:val="99"/>
    <w:rPr>
      <w:rFonts w:ascii="宋体"/>
      <w:sz w:val="18"/>
      <w:szCs w:val="18"/>
      <w:lang w:bidi="ar-SA"/>
    </w:rPr>
  </w:style>
  <w:style w:type="paragraph" w:customStyle="1" w:styleId="317">
    <w:name w:val="标准文件_索引项"/>
    <w:basedOn w:val="183"/>
    <w:next w:val="183"/>
    <w:qFormat/>
    <w:uiPriority w:val="99"/>
    <w:pPr>
      <w:tabs>
        <w:tab w:val="right" w:leader="dot" w:pos="9356"/>
      </w:tabs>
      <w:ind w:left="210" w:hanging="210" w:firstLineChars="0"/>
      <w:jc w:val="left"/>
    </w:pPr>
  </w:style>
  <w:style w:type="paragraph" w:customStyle="1" w:styleId="318">
    <w:name w:val="标准文件_附录一级无标题"/>
    <w:basedOn w:val="205"/>
    <w:qFormat/>
    <w:uiPriority w:val="99"/>
    <w:pPr>
      <w:spacing w:beforeLines="0" w:afterLines="0" w:line="276" w:lineRule="auto"/>
      <w:outlineLvl w:val="9"/>
    </w:pPr>
    <w:rPr>
      <w:rFonts w:ascii="宋体" w:eastAsia="宋体" w:cs="宋体"/>
    </w:rPr>
  </w:style>
  <w:style w:type="paragraph" w:customStyle="1" w:styleId="319">
    <w:name w:val="标准文件_附录二级无标题"/>
    <w:basedOn w:val="206"/>
    <w:qFormat/>
    <w:uiPriority w:val="99"/>
    <w:pPr>
      <w:spacing w:beforeLines="0" w:afterLines="0" w:line="276" w:lineRule="auto"/>
      <w:outlineLvl w:val="9"/>
    </w:pPr>
    <w:rPr>
      <w:rFonts w:ascii="宋体" w:eastAsia="宋体" w:cs="宋体"/>
    </w:rPr>
  </w:style>
  <w:style w:type="paragraph" w:customStyle="1" w:styleId="320">
    <w:name w:val="标准文件_附录三级无标题"/>
    <w:basedOn w:val="208"/>
    <w:qFormat/>
    <w:uiPriority w:val="99"/>
    <w:pPr>
      <w:spacing w:beforeLines="0" w:afterLines="0" w:line="276" w:lineRule="auto"/>
      <w:outlineLvl w:val="9"/>
    </w:pPr>
    <w:rPr>
      <w:rFonts w:ascii="宋体" w:eastAsia="宋体" w:cs="宋体"/>
    </w:rPr>
  </w:style>
  <w:style w:type="paragraph" w:customStyle="1" w:styleId="321">
    <w:name w:val="标准文件_附录四级无标题"/>
    <w:basedOn w:val="209"/>
    <w:qFormat/>
    <w:uiPriority w:val="99"/>
    <w:pPr>
      <w:spacing w:beforeLines="0" w:afterLines="0" w:line="276" w:lineRule="auto"/>
      <w:outlineLvl w:val="9"/>
    </w:pPr>
    <w:rPr>
      <w:rFonts w:ascii="宋体" w:eastAsia="宋体" w:cs="宋体"/>
    </w:rPr>
  </w:style>
  <w:style w:type="paragraph" w:customStyle="1" w:styleId="322">
    <w:name w:val="标准文件_附录五级无标题"/>
    <w:basedOn w:val="211"/>
    <w:qFormat/>
    <w:uiPriority w:val="99"/>
    <w:pPr>
      <w:spacing w:beforeLines="0" w:afterLines="0" w:line="276" w:lineRule="auto"/>
      <w:outlineLvl w:val="9"/>
    </w:pPr>
    <w:rPr>
      <w:rFonts w:ascii="宋体" w:eastAsia="宋体" w:cs="宋体"/>
    </w:rPr>
  </w:style>
  <w:style w:type="paragraph" w:customStyle="1" w:styleId="323">
    <w:name w:val="标准文件_引言一级无标题"/>
    <w:basedOn w:val="307"/>
    <w:next w:val="183"/>
    <w:qFormat/>
    <w:uiPriority w:val="99"/>
    <w:pPr>
      <w:spacing w:beforeLines="0" w:afterLines="0" w:line="276" w:lineRule="auto"/>
    </w:pPr>
    <w:rPr>
      <w:rFonts w:ascii="宋体" w:eastAsia="宋体" w:cs="宋体"/>
    </w:rPr>
  </w:style>
  <w:style w:type="paragraph" w:customStyle="1" w:styleId="324">
    <w:name w:val="标准文件_引言二级无标题"/>
    <w:basedOn w:val="308"/>
    <w:next w:val="183"/>
    <w:qFormat/>
    <w:uiPriority w:val="99"/>
    <w:pPr>
      <w:spacing w:beforeLines="0" w:afterLines="0" w:line="276" w:lineRule="auto"/>
    </w:pPr>
    <w:rPr>
      <w:rFonts w:ascii="宋体" w:eastAsia="宋体" w:cs="宋体"/>
    </w:rPr>
  </w:style>
  <w:style w:type="paragraph" w:customStyle="1" w:styleId="325">
    <w:name w:val="标准文件_引言三级无标题"/>
    <w:basedOn w:val="309"/>
    <w:next w:val="183"/>
    <w:qFormat/>
    <w:uiPriority w:val="99"/>
    <w:pPr>
      <w:spacing w:beforeLines="0" w:afterLines="0" w:line="276" w:lineRule="auto"/>
    </w:pPr>
    <w:rPr>
      <w:rFonts w:ascii="宋体" w:eastAsia="宋体" w:cs="宋体"/>
    </w:rPr>
  </w:style>
  <w:style w:type="paragraph" w:customStyle="1" w:styleId="326">
    <w:name w:val="标准文件_引言四级无标题"/>
    <w:basedOn w:val="310"/>
    <w:next w:val="183"/>
    <w:qFormat/>
    <w:uiPriority w:val="99"/>
    <w:pPr>
      <w:spacing w:beforeLines="0" w:afterLines="0" w:line="276" w:lineRule="auto"/>
    </w:pPr>
    <w:rPr>
      <w:rFonts w:ascii="宋体" w:eastAsia="宋体" w:cs="宋体"/>
    </w:rPr>
  </w:style>
  <w:style w:type="paragraph" w:customStyle="1" w:styleId="327">
    <w:name w:val="标准文件_引言五级无标题"/>
    <w:basedOn w:val="311"/>
    <w:next w:val="183"/>
    <w:qFormat/>
    <w:uiPriority w:val="99"/>
    <w:pPr>
      <w:spacing w:beforeLines="0" w:afterLines="0" w:line="276" w:lineRule="auto"/>
    </w:pPr>
    <w:rPr>
      <w:rFonts w:ascii="宋体" w:eastAsia="宋体" w:cs="宋体"/>
    </w:rPr>
  </w:style>
  <w:style w:type="paragraph" w:customStyle="1" w:styleId="328">
    <w:name w:val="标准文件_索引标题"/>
    <w:basedOn w:val="190"/>
    <w:next w:val="183"/>
    <w:qFormat/>
    <w:uiPriority w:val="99"/>
    <w:rPr>
      <w:rFonts w:hAnsi="黑体"/>
    </w:rPr>
  </w:style>
  <w:style w:type="paragraph" w:customStyle="1" w:styleId="329">
    <w:name w:val="标准文件_脚注内容"/>
    <w:basedOn w:val="183"/>
    <w:qFormat/>
    <w:uiPriority w:val="99"/>
    <w:pPr>
      <w:ind w:left="400" w:leftChars="200" w:hanging="200" w:hangingChars="200"/>
    </w:pPr>
    <w:rPr>
      <w:sz w:val="15"/>
      <w:szCs w:val="15"/>
    </w:rPr>
  </w:style>
  <w:style w:type="paragraph" w:customStyle="1" w:styleId="330">
    <w:name w:val="标准文件_术语条一"/>
    <w:basedOn w:val="272"/>
    <w:next w:val="183"/>
    <w:qFormat/>
    <w:uiPriority w:val="99"/>
  </w:style>
  <w:style w:type="paragraph" w:customStyle="1" w:styleId="331">
    <w:name w:val="标准文件_术语条二"/>
    <w:basedOn w:val="275"/>
    <w:next w:val="183"/>
    <w:qFormat/>
    <w:uiPriority w:val="99"/>
  </w:style>
  <w:style w:type="paragraph" w:customStyle="1" w:styleId="332">
    <w:name w:val="标准文件_术语条三"/>
    <w:basedOn w:val="274"/>
    <w:next w:val="183"/>
    <w:qFormat/>
    <w:uiPriority w:val="99"/>
  </w:style>
  <w:style w:type="paragraph" w:customStyle="1" w:styleId="333">
    <w:name w:val="标准文件_术语条四"/>
    <w:basedOn w:val="277"/>
    <w:next w:val="183"/>
    <w:qFormat/>
    <w:uiPriority w:val="99"/>
  </w:style>
  <w:style w:type="paragraph" w:customStyle="1" w:styleId="334">
    <w:name w:val="标准文件_术语条五"/>
    <w:basedOn w:val="273"/>
    <w:next w:val="183"/>
    <w:qFormat/>
    <w:uiPriority w:val="99"/>
  </w:style>
  <w:style w:type="character" w:customStyle="1" w:styleId="335">
    <w:name w:val="列出段落 Char3"/>
    <w:link w:val="336"/>
    <w:qFormat/>
    <w:locked/>
    <w:uiPriority w:val="99"/>
    <w:rPr>
      <w:sz w:val="24"/>
      <w:szCs w:val="24"/>
    </w:rPr>
  </w:style>
  <w:style w:type="paragraph" w:customStyle="1" w:styleId="336">
    <w:name w:val="列出段落11"/>
    <w:basedOn w:val="1"/>
    <w:link w:val="335"/>
    <w:qFormat/>
    <w:uiPriority w:val="99"/>
    <w:pPr>
      <w:ind w:firstLine="420" w:firstLineChars="200"/>
    </w:pPr>
    <w:rPr>
      <w:kern w:val="0"/>
      <w:sz w:val="24"/>
      <w:szCs w:val="24"/>
    </w:rPr>
  </w:style>
  <w:style w:type="paragraph" w:customStyle="1" w:styleId="337">
    <w:name w:val="修订2"/>
    <w:hidden/>
    <w:semiHidden/>
    <w:qFormat/>
    <w:uiPriority w:val="99"/>
    <w:rPr>
      <w:rFonts w:ascii="Calibri" w:hAnsi="Calibri" w:eastAsia="宋体" w:cs="Calibri"/>
      <w:kern w:val="2"/>
      <w:sz w:val="21"/>
      <w:szCs w:val="21"/>
      <w:lang w:val="en-US" w:eastAsia="zh-CN" w:bidi="ar-SA"/>
    </w:rPr>
  </w:style>
  <w:style w:type="paragraph" w:customStyle="1" w:styleId="338">
    <w:name w:val="修订3"/>
    <w:hidden/>
    <w:qFormat/>
    <w:uiPriority w:val="99"/>
    <w:rPr>
      <w:rFonts w:ascii="Times New Roman" w:hAnsi="Times New Roman" w:eastAsia="宋体" w:cs="Times New Roman"/>
      <w:kern w:val="2"/>
      <w:sz w:val="21"/>
      <w:szCs w:val="21"/>
      <w:lang w:val="en-US" w:eastAsia="zh-CN" w:bidi="ar-SA"/>
    </w:rPr>
  </w:style>
  <w:style w:type="paragraph" w:customStyle="1" w:styleId="339">
    <w:name w:val="修订4"/>
    <w:hidden/>
    <w:qFormat/>
    <w:uiPriority w:val="99"/>
    <w:rPr>
      <w:rFonts w:ascii="Times New Roman" w:hAnsi="Times New Roman" w:eastAsia="宋体" w:cs="Times New Roman"/>
      <w:kern w:val="2"/>
      <w:sz w:val="21"/>
      <w:szCs w:val="21"/>
      <w:lang w:val="en-US" w:eastAsia="zh-CN" w:bidi="ar-SA"/>
    </w:rPr>
  </w:style>
  <w:style w:type="paragraph" w:customStyle="1" w:styleId="340">
    <w:name w:val="Table Paragraph"/>
    <w:basedOn w:val="1"/>
    <w:qFormat/>
    <w:uiPriority w:val="99"/>
    <w:pPr>
      <w:autoSpaceDE w:val="0"/>
      <w:autoSpaceDN w:val="0"/>
      <w:jc w:val="left"/>
    </w:pPr>
    <w:rPr>
      <w:rFonts w:ascii="Noto Sans Mono CJK HK" w:hAnsi="Noto Sans Mono CJK HK" w:cs="Noto Sans Mono CJK HK"/>
      <w:kern w:val="0"/>
      <w:sz w:val="22"/>
      <w:szCs w:val="22"/>
    </w:rPr>
  </w:style>
  <w:style w:type="character" w:customStyle="1" w:styleId="341">
    <w:name w:val="正文文本 + AngsanaUPC"/>
    <w:basedOn w:val="47"/>
    <w:qFormat/>
    <w:uiPriority w:val="99"/>
    <w:rPr>
      <w:rFonts w:ascii="AngsanaUPC" w:hAnsi="AngsanaUPC" w:eastAsia="MingLiU" w:cs="AngsanaUPC"/>
      <w:b/>
      <w:bCs/>
      <w:spacing w:val="20"/>
      <w:sz w:val="27"/>
      <w:szCs w:val="27"/>
      <w:u w:val="none"/>
    </w:rPr>
  </w:style>
  <w:style w:type="character" w:customStyle="1" w:styleId="342">
    <w:name w:val="正文文本 (3) Exact"/>
    <w:basedOn w:val="47"/>
    <w:qFormat/>
    <w:uiPriority w:val="99"/>
    <w:rPr>
      <w:rFonts w:ascii="MingLiU" w:eastAsia="MingLiU" w:cs="MingLiU"/>
      <w:spacing w:val="13"/>
      <w:sz w:val="28"/>
      <w:szCs w:val="28"/>
      <w:u w:val="none"/>
    </w:rPr>
  </w:style>
  <w:style w:type="paragraph" w:customStyle="1" w:styleId="343">
    <w:name w:val="修订5"/>
    <w:hidden/>
    <w:semiHidden/>
    <w:qFormat/>
    <w:uiPriority w:val="99"/>
    <w:rPr>
      <w:rFonts w:ascii="Times New Roman" w:hAnsi="Times New Roman" w:eastAsia="宋体" w:cs="Times New Roman"/>
      <w:kern w:val="2"/>
      <w:sz w:val="21"/>
      <w:szCs w:val="21"/>
      <w:lang w:val="en-US" w:eastAsia="zh-CN" w:bidi="ar-SA"/>
    </w:rPr>
  </w:style>
  <w:style w:type="character" w:customStyle="1" w:styleId="344">
    <w:name w:val="表头 Char"/>
    <w:link w:val="345"/>
    <w:qFormat/>
    <w:uiPriority w:val="0"/>
    <w:rPr>
      <w:rFonts w:eastAsia="黑体"/>
      <w:b/>
      <w:sz w:val="28"/>
    </w:rPr>
  </w:style>
  <w:style w:type="paragraph" w:customStyle="1" w:styleId="345">
    <w:name w:val="表头"/>
    <w:basedOn w:val="1"/>
    <w:link w:val="344"/>
    <w:qFormat/>
    <w:uiPriority w:val="0"/>
    <w:pPr>
      <w:spacing w:beforeLines="50" w:afterLines="50"/>
      <w:jc w:val="center"/>
    </w:pPr>
    <w:rPr>
      <w:rFonts w:eastAsia="黑体"/>
      <w:b/>
      <w:kern w:val="0"/>
      <w:sz w:val="28"/>
      <w:szCs w:val="20"/>
    </w:rPr>
  </w:style>
  <w:style w:type="paragraph" w:customStyle="1" w:styleId="346">
    <w:name w:val="列出段落1"/>
    <w:basedOn w:val="1"/>
    <w:qFormat/>
    <w:uiPriority w:val="0"/>
    <w:pPr>
      <w:ind w:firstLine="200" w:firstLineChars="200"/>
    </w:pPr>
    <w:rPr>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4097" textRotate="1"/>
    <customShpInfo spid="_x0000_s4098" textRotate="1"/>
    <customShpInfo spid="_x0000_s4099" textRotate="1"/>
    <customShpInfo spid="_x0000_s4100"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F24DE3-17BD-4744-8199-B2660CDD5DDD}">
  <ds:schemaRefs/>
</ds:datastoreItem>
</file>

<file path=docProps/app.xml><?xml version="1.0" encoding="utf-8"?>
<Properties xmlns="http://schemas.openxmlformats.org/officeDocument/2006/extended-properties" xmlns:vt="http://schemas.openxmlformats.org/officeDocument/2006/docPropsVTypes">
  <Template>Normal.dotm</Template>
  <Company>zle</Company>
  <Pages>34</Pages>
  <Words>21066</Words>
  <Characters>21439</Characters>
  <Lines>190</Lines>
  <Paragraphs>53</Paragraphs>
  <TotalTime>2</TotalTime>
  <ScaleCrop>false</ScaleCrop>
  <LinksUpToDate>false</LinksUpToDate>
  <CharactersWithSpaces>22726</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2024-03-15T02:36:00Z</dcterms:created>
  <dc:creator>苏玉杰</dc:creator>
  <cp:lastModifiedBy>86152</cp:lastModifiedBy>
  <cp:lastPrinted>2023-09-26T15:07:00Z</cp:lastPrinted>
  <dcterms:modified xsi:type="dcterms:W3CDTF">2024-04-17T10:03:11Z</dcterms:modified>
  <dc:title>标准名称</dc:title>
  <cp:revision>105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y fmtid="{D5CDD505-2E9C-101B-9397-08002B2CF9AE}" pid="3" name="ICV">
    <vt:lpwstr>DF7B5E9E1D42476292398EF3C60E056F</vt:lpwstr>
  </property>
</Properties>
</file>