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F6" w:rsidRPr="00B75B04" w:rsidRDefault="00506F8E">
      <w:pPr>
        <w:rPr>
          <w:rFonts w:eastAsia="黑体"/>
          <w:szCs w:val="32"/>
        </w:rPr>
      </w:pPr>
      <w:bookmarkStart w:id="0" w:name="_GoBack"/>
      <w:bookmarkEnd w:id="0"/>
      <w:r w:rsidRPr="00B75B04">
        <w:rPr>
          <w:rFonts w:eastAsia="黑体"/>
          <w:szCs w:val="32"/>
        </w:rPr>
        <w:t>附件</w:t>
      </w:r>
    </w:p>
    <w:p w:rsidR="00141BF6" w:rsidRPr="00B75B04" w:rsidRDefault="00506F8E">
      <w:pPr>
        <w:jc w:val="center"/>
        <w:rPr>
          <w:rFonts w:eastAsia="方正小标宋简体"/>
          <w:sz w:val="44"/>
          <w:szCs w:val="44"/>
        </w:rPr>
      </w:pPr>
      <w:r w:rsidRPr="00B75B04">
        <w:rPr>
          <w:rFonts w:eastAsia="方正小标宋简体"/>
          <w:sz w:val="44"/>
          <w:szCs w:val="44"/>
        </w:rPr>
        <w:t>浙江省安全宣传</w:t>
      </w:r>
      <w:r w:rsidRPr="00B75B04">
        <w:rPr>
          <w:rFonts w:eastAsia="方正小标宋简体"/>
          <w:sz w:val="44"/>
          <w:szCs w:val="44"/>
        </w:rPr>
        <w:t>“</w:t>
      </w:r>
      <w:r w:rsidRPr="00B75B04">
        <w:rPr>
          <w:rFonts w:eastAsia="方正小标宋简体"/>
          <w:sz w:val="44"/>
          <w:szCs w:val="44"/>
        </w:rPr>
        <w:t>五进</w:t>
      </w:r>
      <w:r w:rsidRPr="00B75B04">
        <w:rPr>
          <w:rFonts w:eastAsia="方正小标宋简体"/>
          <w:sz w:val="44"/>
          <w:szCs w:val="44"/>
        </w:rPr>
        <w:t>”</w:t>
      </w:r>
      <w:r w:rsidRPr="00B75B04">
        <w:rPr>
          <w:rFonts w:eastAsia="方正小标宋简体"/>
          <w:sz w:val="44"/>
          <w:szCs w:val="44"/>
        </w:rPr>
        <w:t>重点举措清单</w:t>
      </w:r>
    </w:p>
    <w:tbl>
      <w:tblPr>
        <w:tblW w:w="15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50"/>
        <w:gridCol w:w="5925"/>
        <w:gridCol w:w="2330"/>
        <w:gridCol w:w="4962"/>
      </w:tblGrid>
      <w:tr w:rsidR="00141BF6" w:rsidRPr="00B75B04" w:rsidTr="00522A4F">
        <w:trPr>
          <w:trHeight w:val="399"/>
          <w:tblHeader/>
          <w:jc w:val="center"/>
        </w:trPr>
        <w:tc>
          <w:tcPr>
            <w:tcW w:w="647" w:type="dxa"/>
            <w:vAlign w:val="center"/>
          </w:tcPr>
          <w:p w:rsidR="00141BF6" w:rsidRPr="00B75B04" w:rsidRDefault="00506F8E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 w:rsidRPr="00B75B04">
              <w:rPr>
                <w:rFonts w:eastAsia="楷体_GB2312"/>
                <w:b/>
                <w:sz w:val="24"/>
                <w:szCs w:val="24"/>
              </w:rPr>
              <w:t>序号</w:t>
            </w:r>
          </w:p>
        </w:tc>
        <w:tc>
          <w:tcPr>
            <w:tcW w:w="1250" w:type="dxa"/>
            <w:vAlign w:val="center"/>
          </w:tcPr>
          <w:p w:rsidR="00141BF6" w:rsidRPr="00B75B04" w:rsidRDefault="00506F8E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 w:rsidRPr="00B75B04">
              <w:rPr>
                <w:rFonts w:eastAsia="楷体_GB2312"/>
                <w:b/>
                <w:sz w:val="24"/>
                <w:szCs w:val="24"/>
              </w:rPr>
              <w:t>工作任务</w:t>
            </w: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 w:rsidRPr="00B75B04">
              <w:rPr>
                <w:rFonts w:eastAsia="楷体_GB2312"/>
                <w:b/>
                <w:sz w:val="24"/>
                <w:szCs w:val="24"/>
              </w:rPr>
              <w:t>重点工作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 w:rsidRPr="00B75B04">
              <w:rPr>
                <w:rFonts w:eastAsia="楷体_GB2312"/>
                <w:b/>
                <w:sz w:val="24"/>
                <w:szCs w:val="24"/>
              </w:rPr>
              <w:t>牵头单位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 w:rsidRPr="00B75B04">
              <w:rPr>
                <w:rFonts w:eastAsia="楷体_GB2312"/>
                <w:b/>
                <w:sz w:val="24"/>
                <w:szCs w:val="24"/>
              </w:rPr>
              <w:t>配合单位</w:t>
            </w:r>
          </w:p>
        </w:tc>
      </w:tr>
      <w:tr w:rsidR="00815FED" w:rsidRPr="00B75B04" w:rsidTr="00522A4F">
        <w:trPr>
          <w:trHeight w:val="1050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</w:t>
            </w:r>
          </w:p>
        </w:tc>
        <w:tc>
          <w:tcPr>
            <w:tcW w:w="1250" w:type="dxa"/>
            <w:vMerge w:val="restart"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 w:val="24"/>
                <w:szCs w:val="24"/>
              </w:rPr>
            </w:pPr>
            <w:r w:rsidRPr="00B75B04">
              <w:rPr>
                <w:szCs w:val="32"/>
              </w:rPr>
              <w:t>进企业</w:t>
            </w: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强化高危行业和特种人员持证上岗制度，确保高危企业在岗和新招录从业人员</w:t>
            </w:r>
            <w:r w:rsidRPr="00B75B04">
              <w:rPr>
                <w:sz w:val="24"/>
                <w:szCs w:val="24"/>
              </w:rPr>
              <w:t>100%</w:t>
            </w:r>
            <w:r w:rsidRPr="00B75B04">
              <w:rPr>
                <w:sz w:val="24"/>
                <w:szCs w:val="24"/>
              </w:rPr>
              <w:t>培训考核合格后上岗，特种作业人员</w:t>
            </w:r>
            <w:r w:rsidRPr="00B75B04">
              <w:rPr>
                <w:sz w:val="24"/>
                <w:szCs w:val="24"/>
              </w:rPr>
              <w:t>100%</w:t>
            </w:r>
            <w:r w:rsidRPr="00B75B04">
              <w:rPr>
                <w:sz w:val="24"/>
                <w:szCs w:val="24"/>
              </w:rPr>
              <w:t>持证上岗。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省应急管理厅、省市场监管局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省经信厅、省公安厅、省建设厅、省交通运输厅、省农业农村厅、省国资委、省文化和旅游厅；市、县（市、区）安委会</w:t>
            </w:r>
          </w:p>
        </w:tc>
      </w:tr>
      <w:tr w:rsidR="00815FED" w:rsidRPr="00B75B04" w:rsidTr="00522A4F">
        <w:trPr>
          <w:trHeight w:val="688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</w:t>
            </w:r>
          </w:p>
        </w:tc>
        <w:tc>
          <w:tcPr>
            <w:tcW w:w="1250" w:type="dxa"/>
            <w:vMerge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完善企业安全生产管理团队，特别是危险化学品、矿山、金属冶炼、建筑施工、交通运输、渔业捕捞等重点行业领域企业以及加工制造类小</w:t>
            </w:r>
            <w:proofErr w:type="gramStart"/>
            <w:r w:rsidRPr="00B75B04">
              <w:rPr>
                <w:sz w:val="24"/>
                <w:szCs w:val="24"/>
              </w:rPr>
              <w:t>微企业</w:t>
            </w:r>
            <w:proofErr w:type="gramEnd"/>
            <w:r w:rsidRPr="00B75B04">
              <w:rPr>
                <w:sz w:val="24"/>
                <w:szCs w:val="24"/>
              </w:rPr>
              <w:t>等应建立安全生产技术和管理队伍，要逐步提高从业人员职业资格证书或技能等级证书持证比例，提升安全技能背景人员占员工队伍比例。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省应急管理厅、省公安厅、省建设厅、省交通运输厅、省农业农村厅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省安委会其他成员单位；市、县（市、区）安委会</w:t>
            </w:r>
          </w:p>
        </w:tc>
      </w:tr>
      <w:tr w:rsidR="00815FED" w:rsidRPr="00B75B04" w:rsidTr="00522A4F">
        <w:trPr>
          <w:trHeight w:val="688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3</w:t>
            </w:r>
          </w:p>
        </w:tc>
        <w:tc>
          <w:tcPr>
            <w:tcW w:w="1250" w:type="dxa"/>
            <w:vMerge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鼓励企业自建或共建应急（安全）宣传教育体验馆。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市、县（市、区）安委会</w:t>
            </w:r>
          </w:p>
        </w:tc>
      </w:tr>
      <w:tr w:rsidR="00815FED" w:rsidRPr="00B75B04" w:rsidTr="00522A4F">
        <w:trPr>
          <w:trHeight w:val="1036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4</w:t>
            </w:r>
          </w:p>
        </w:tc>
        <w:tc>
          <w:tcPr>
            <w:tcW w:w="1250" w:type="dxa"/>
            <w:vMerge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积极组织企业参加安全生产月、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安康杯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竞赛、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安全文化示范企业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创建、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青年安全生产示范岗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创建等活动。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省应急管理厅、省总工会、团省委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省委宣传部、省经信厅、省公安厅、省建设厅、省交通运输厅、省国资委；市、县（市、区）安委会</w:t>
            </w:r>
          </w:p>
        </w:tc>
      </w:tr>
      <w:tr w:rsidR="00815FED" w:rsidRPr="00B75B04" w:rsidTr="00522A4F">
        <w:trPr>
          <w:trHeight w:val="90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5</w:t>
            </w:r>
          </w:p>
        </w:tc>
        <w:tc>
          <w:tcPr>
            <w:tcW w:w="1250" w:type="dxa"/>
            <w:vMerge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推动企业安全诚信体系建设，健全信用信息系统，落实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红黑名单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制度。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省发展改革委（省信用办）、省经信厅、省公安厅、省建设厅、省交通运输厅、省农业农村厅、省国资委、省文化和旅游厅、省市场监管局、省总工会；市、县（市、区）安委会</w:t>
            </w:r>
          </w:p>
        </w:tc>
      </w:tr>
      <w:tr w:rsidR="00815FED" w:rsidRPr="00B75B04" w:rsidTr="00522A4F">
        <w:trPr>
          <w:trHeight w:val="1166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lastRenderedPageBreak/>
              <w:t>6</w:t>
            </w:r>
          </w:p>
        </w:tc>
        <w:tc>
          <w:tcPr>
            <w:tcW w:w="1250" w:type="dxa"/>
            <w:vMerge w:val="restart"/>
            <w:vAlign w:val="center"/>
          </w:tcPr>
          <w:p w:rsidR="00815FED" w:rsidRPr="00E0192B" w:rsidRDefault="00815FED" w:rsidP="00815FED">
            <w:pPr>
              <w:spacing w:line="340" w:lineRule="exact"/>
              <w:jc w:val="center"/>
              <w:rPr>
                <w:szCs w:val="32"/>
              </w:rPr>
            </w:pPr>
            <w:r w:rsidRPr="00E0192B">
              <w:rPr>
                <w:rFonts w:hint="eastAsia"/>
                <w:szCs w:val="32"/>
              </w:rPr>
              <w:t>进企业</w:t>
            </w: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在厂区、建筑工地、工业园区等醒目位置设置安全宣传栏风险告知牌、电子显示屏、企业安全文化墙，并充分利用电子屏播放安全宣传片、微视频、</w:t>
            </w:r>
            <w:proofErr w:type="gramStart"/>
            <w:r w:rsidRPr="00B75B04">
              <w:rPr>
                <w:sz w:val="24"/>
                <w:szCs w:val="24"/>
              </w:rPr>
              <w:t>微电影</w:t>
            </w:r>
            <w:proofErr w:type="gramEnd"/>
            <w:r w:rsidRPr="00B75B04">
              <w:rPr>
                <w:sz w:val="24"/>
                <w:szCs w:val="24"/>
              </w:rPr>
              <w:t>等。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省经信厅、省建设厅、省应急管理厅等功能区安全整治工作相关单位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省公安厅、省交通运输厅、省农业农村厅、省国资委、省市场监管局、省总工会；市、县（市、区）安委会</w:t>
            </w:r>
          </w:p>
        </w:tc>
      </w:tr>
      <w:tr w:rsidR="00815FED" w:rsidRPr="00B75B04" w:rsidTr="00522A4F">
        <w:trPr>
          <w:trHeight w:val="760"/>
          <w:jc w:val="center"/>
        </w:trPr>
        <w:tc>
          <w:tcPr>
            <w:tcW w:w="647" w:type="dxa"/>
            <w:vAlign w:val="center"/>
          </w:tcPr>
          <w:p w:rsidR="00815FED" w:rsidRPr="00B75B04" w:rsidRDefault="00815FED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7</w:t>
            </w:r>
          </w:p>
        </w:tc>
        <w:tc>
          <w:tcPr>
            <w:tcW w:w="1250" w:type="dxa"/>
            <w:vMerge/>
            <w:vAlign w:val="center"/>
          </w:tcPr>
          <w:p w:rsidR="00815FED" w:rsidRPr="00B75B04" w:rsidRDefault="00815FED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组织新闻媒体走进企业，支持新闻媒体开展舆论监督，曝光安全隐患和违法违规行为。</w:t>
            </w:r>
          </w:p>
        </w:tc>
        <w:tc>
          <w:tcPr>
            <w:tcW w:w="2330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省委宣传部、省应急管理厅、省广电局</w:t>
            </w:r>
          </w:p>
        </w:tc>
        <w:tc>
          <w:tcPr>
            <w:tcW w:w="4962" w:type="dxa"/>
            <w:vAlign w:val="center"/>
          </w:tcPr>
          <w:p w:rsidR="00815FED" w:rsidRPr="00B75B04" w:rsidRDefault="00815FED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省经信厅、省公安厅、省建设厅、省交通运输厅、省农业农村厅、省国资委、省市场监管局；市、县（市、区）安委会</w:t>
            </w:r>
          </w:p>
        </w:tc>
      </w:tr>
      <w:tr w:rsidR="00141BF6" w:rsidRPr="00B75B04" w:rsidTr="00522A4F">
        <w:trPr>
          <w:trHeight w:val="766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8</w:t>
            </w:r>
          </w:p>
        </w:tc>
        <w:tc>
          <w:tcPr>
            <w:tcW w:w="1250" w:type="dxa"/>
            <w:vMerge w:val="restart"/>
            <w:vAlign w:val="center"/>
          </w:tcPr>
          <w:p w:rsidR="00141BF6" w:rsidRPr="00B75B04" w:rsidRDefault="00506F8E" w:rsidP="00894F34">
            <w:pPr>
              <w:spacing w:line="340" w:lineRule="exact"/>
              <w:rPr>
                <w:szCs w:val="21"/>
              </w:rPr>
            </w:pPr>
            <w:r w:rsidRPr="00B75B04">
              <w:rPr>
                <w:szCs w:val="21"/>
              </w:rPr>
              <w:t>进农村</w:t>
            </w: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将安全宣传纳入平安乡村建设、美丽休闲乡村、乡村旅游重点村、全域旅游示范区创建等重点工作，形成工作制度。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省委政法委、省农业农村厅、省文化和旅游厅等相关创建活动牵头部门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省安委会其他成员单位；市、县（市、区）安委会</w:t>
            </w:r>
          </w:p>
        </w:tc>
      </w:tr>
      <w:tr w:rsidR="00141BF6" w:rsidRPr="00B75B04" w:rsidTr="00522A4F">
        <w:trPr>
          <w:trHeight w:val="918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9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推进应急广播</w:t>
            </w:r>
            <w:proofErr w:type="gramStart"/>
            <w:r w:rsidRPr="00B75B04">
              <w:rPr>
                <w:sz w:val="24"/>
                <w:szCs w:val="24"/>
              </w:rPr>
              <w:t>到村全覆盖</w:t>
            </w:r>
            <w:proofErr w:type="gramEnd"/>
            <w:r w:rsidRPr="00B75B04">
              <w:rPr>
                <w:sz w:val="24"/>
                <w:szCs w:val="24"/>
              </w:rPr>
              <w:t>，打通安全宣传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最后一公里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，持续开展日常安全宣传。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省广电局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省农业农村厅、省应急管理厅；市、县（市、区）安委会</w:t>
            </w:r>
          </w:p>
        </w:tc>
      </w:tr>
      <w:tr w:rsidR="00141BF6" w:rsidRPr="00B75B04" w:rsidTr="00522A4F">
        <w:trPr>
          <w:trHeight w:val="353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10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开展安全</w:t>
            </w:r>
            <w:proofErr w:type="gramStart"/>
            <w:r w:rsidRPr="00B75B04">
              <w:rPr>
                <w:sz w:val="24"/>
                <w:szCs w:val="24"/>
              </w:rPr>
              <w:t>进文化</w:t>
            </w:r>
            <w:proofErr w:type="gramEnd"/>
            <w:r w:rsidRPr="00B75B04">
              <w:rPr>
                <w:sz w:val="24"/>
                <w:szCs w:val="24"/>
              </w:rPr>
              <w:t>礼堂活动，</w:t>
            </w:r>
            <w:r w:rsidRPr="00B75B04">
              <w:rPr>
                <w:sz w:val="24"/>
                <w:szCs w:val="24"/>
              </w:rPr>
              <w:t>2022</w:t>
            </w:r>
            <w:r w:rsidRPr="00B75B04">
              <w:rPr>
                <w:sz w:val="24"/>
                <w:szCs w:val="24"/>
              </w:rPr>
              <w:t>年底前实现消防、道路交通、防汛防台等安全宣传覆盖全省文化礼堂。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省委宣传部、省公安厅、省应急管理厅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省建设厅、省交通运输厅、省农业农村厅、省国资委、省文化和旅游厅、省应急管理厅、省市场监管局；市、县（市、区）安委会</w:t>
            </w:r>
          </w:p>
        </w:tc>
      </w:tr>
      <w:tr w:rsidR="00141BF6" w:rsidRPr="00B75B04" w:rsidTr="00522A4F">
        <w:trPr>
          <w:trHeight w:val="353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11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充分利用农村科普宣传阵地，广泛开展安全宣传。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省科协、省农业农村厅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省公安厅、省建设厅、省交通运输厅、省国资委、省文化和旅游厅、省应急管理厅、省市场监管局；市、县（市、区）安委会</w:t>
            </w:r>
          </w:p>
        </w:tc>
      </w:tr>
      <w:tr w:rsidR="00141BF6" w:rsidRPr="00B75B04" w:rsidTr="00522A4F">
        <w:trPr>
          <w:trHeight w:val="353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 w:rsidRPr="00B75B04">
              <w:rPr>
                <w:b/>
                <w:bCs/>
                <w:szCs w:val="21"/>
              </w:rPr>
              <w:t>12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b/>
                <w:bCs/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推进农村应急救援志愿服务组织和应急救援志愿者队伍建设。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省委宣传部（省文明办）、省应急管理厅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省农业农村厅、省民政厅；市、县（市、区）安委会</w:t>
            </w:r>
          </w:p>
        </w:tc>
      </w:tr>
      <w:tr w:rsidR="00141BF6" w:rsidRPr="00B75B04" w:rsidTr="00522A4F">
        <w:trPr>
          <w:trHeight w:val="1297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lastRenderedPageBreak/>
              <w:t>13</w:t>
            </w:r>
          </w:p>
        </w:tc>
        <w:tc>
          <w:tcPr>
            <w:tcW w:w="1250" w:type="dxa"/>
            <w:vMerge w:val="restart"/>
            <w:vAlign w:val="center"/>
          </w:tcPr>
          <w:p w:rsidR="00141BF6" w:rsidRPr="00B75B04" w:rsidRDefault="00506F8E" w:rsidP="00894F34">
            <w:pPr>
              <w:spacing w:line="340" w:lineRule="exact"/>
              <w:rPr>
                <w:szCs w:val="21"/>
              </w:rPr>
            </w:pPr>
            <w:r w:rsidRPr="00B75B04">
              <w:rPr>
                <w:szCs w:val="21"/>
              </w:rPr>
              <w:t>进社区</w:t>
            </w: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将安全宣传作为重要内容纳入全国综合减灾示范社区、全国综合减灾示范县、全国科普示范县</w:t>
            </w:r>
            <w:r w:rsidRPr="00B75B04">
              <w:rPr>
                <w:sz w:val="24"/>
                <w:szCs w:val="24"/>
              </w:rPr>
              <w:t>(</w:t>
            </w:r>
            <w:r w:rsidRPr="00B75B04">
              <w:rPr>
                <w:sz w:val="24"/>
                <w:szCs w:val="24"/>
              </w:rPr>
              <w:t>市、区</w:t>
            </w:r>
            <w:r w:rsidRPr="00B75B04">
              <w:rPr>
                <w:sz w:val="24"/>
                <w:szCs w:val="24"/>
              </w:rPr>
              <w:t>)</w:t>
            </w:r>
            <w:r w:rsidRPr="00B75B04">
              <w:rPr>
                <w:sz w:val="24"/>
                <w:szCs w:val="24"/>
              </w:rPr>
              <w:t>和</w:t>
            </w:r>
            <w:proofErr w:type="gramStart"/>
            <w:r w:rsidRPr="00B75B04">
              <w:rPr>
                <w:sz w:val="24"/>
                <w:szCs w:val="24"/>
              </w:rPr>
              <w:t>安全发展</w:t>
            </w:r>
            <w:proofErr w:type="gramEnd"/>
            <w:r w:rsidRPr="00B75B04">
              <w:rPr>
                <w:sz w:val="24"/>
                <w:szCs w:val="24"/>
              </w:rPr>
              <w:t>示范城市创建的评定工作。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省应急管理厅、省科协等相关创建工作牵头部门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省安委会其他成员单位；市、县（市、区）安委会</w:t>
            </w:r>
          </w:p>
        </w:tc>
      </w:tr>
      <w:tr w:rsidR="00141BF6" w:rsidRPr="00B75B04" w:rsidTr="00522A4F">
        <w:trPr>
          <w:trHeight w:val="1297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14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  <w:lang w:val="zh-CN"/>
              </w:rPr>
            </w:pPr>
            <w:r w:rsidRPr="00B75B04">
              <w:rPr>
                <w:sz w:val="24"/>
                <w:szCs w:val="24"/>
                <w:lang w:val="zh-CN"/>
              </w:rPr>
              <w:t>完善社区安全宣传教育制度，明确</w:t>
            </w:r>
            <w:proofErr w:type="gramStart"/>
            <w:r w:rsidRPr="00B75B04">
              <w:rPr>
                <w:sz w:val="24"/>
                <w:szCs w:val="24"/>
                <w:lang w:val="zh-CN"/>
              </w:rPr>
              <w:t>社区消防</w:t>
            </w:r>
            <w:proofErr w:type="gramEnd"/>
            <w:r w:rsidRPr="00B75B04">
              <w:rPr>
                <w:sz w:val="24"/>
                <w:szCs w:val="24"/>
                <w:lang w:val="zh-CN"/>
              </w:rPr>
              <w:t>等安全宣传责任人，依托社区综合服务设施，设立固定消防安全宣传教育场所，配备常用消防器材、模拟体验设施和宣传资料。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省民政厅、省消防救援总队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市、县（市、区）安委会</w:t>
            </w:r>
          </w:p>
        </w:tc>
      </w:tr>
      <w:tr w:rsidR="00141BF6" w:rsidRPr="00B75B04" w:rsidTr="00522A4F">
        <w:trPr>
          <w:trHeight w:val="312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15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加强社区安全宣传阵地建设，充分利用科普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站、栏、园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和电子屏，设置安全专栏，播放安全生产公益片、短视频、</w:t>
            </w:r>
            <w:proofErr w:type="gramStart"/>
            <w:r w:rsidRPr="00B75B04">
              <w:rPr>
                <w:sz w:val="24"/>
                <w:szCs w:val="24"/>
              </w:rPr>
              <w:t>微电影</w:t>
            </w:r>
            <w:proofErr w:type="gramEnd"/>
            <w:r w:rsidRPr="00B75B04">
              <w:rPr>
                <w:sz w:val="24"/>
                <w:szCs w:val="24"/>
              </w:rPr>
              <w:t>等。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省民政厅、省科协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省公安厅、省建设厅、省交通运输厅、省文化和旅游厅、省应急管理厅、省市场监管局；市、县（市、区）安委会</w:t>
            </w:r>
          </w:p>
        </w:tc>
      </w:tr>
      <w:tr w:rsidR="00141BF6" w:rsidRPr="00B75B04" w:rsidTr="00522A4F">
        <w:trPr>
          <w:trHeight w:val="1040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16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各市在</w:t>
            </w:r>
            <w:r w:rsidRPr="00B75B04">
              <w:rPr>
                <w:sz w:val="24"/>
                <w:szCs w:val="24"/>
              </w:rPr>
              <w:t>2021</w:t>
            </w:r>
            <w:r w:rsidRPr="00B75B04">
              <w:rPr>
                <w:sz w:val="24"/>
                <w:szCs w:val="24"/>
              </w:rPr>
              <w:t>年底前建设一个安全（消防）主题公园、一条安全（消防）街或一个安全（消防）文化广场，经常性开展安全宣传活动。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各市安委会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</w:t>
            </w:r>
          </w:p>
        </w:tc>
      </w:tr>
      <w:tr w:rsidR="00141BF6" w:rsidRPr="00B75B04" w:rsidTr="00522A4F">
        <w:trPr>
          <w:trHeight w:val="714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17</w:t>
            </w:r>
          </w:p>
        </w:tc>
        <w:tc>
          <w:tcPr>
            <w:tcW w:w="1250" w:type="dxa"/>
            <w:vMerge w:val="restart"/>
            <w:vAlign w:val="center"/>
          </w:tcPr>
          <w:p w:rsidR="00141BF6" w:rsidRPr="00B75B04" w:rsidRDefault="00506F8E" w:rsidP="00894F34">
            <w:pPr>
              <w:spacing w:line="340" w:lineRule="exact"/>
              <w:rPr>
                <w:szCs w:val="21"/>
              </w:rPr>
            </w:pPr>
            <w:r w:rsidRPr="00B75B04">
              <w:rPr>
                <w:szCs w:val="21"/>
              </w:rPr>
              <w:t>进学校</w:t>
            </w: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加强校园安全风险防控体系建设，定期开展校园安全隐患排查，将安全宣传纳入平安校园创建工作中。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省教育厅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省安委会其他相关成员单位；市、县（市、区）安委会</w:t>
            </w:r>
          </w:p>
        </w:tc>
      </w:tr>
      <w:tr w:rsidR="00141BF6" w:rsidRPr="00B75B04" w:rsidTr="00522A4F">
        <w:trPr>
          <w:trHeight w:val="554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18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落实安全教育进课程，定期修订安全教育相关教材。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省教育厅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市、县（市、区）安委会</w:t>
            </w:r>
          </w:p>
        </w:tc>
      </w:tr>
      <w:tr w:rsidR="00141BF6" w:rsidRPr="00B75B04" w:rsidTr="00522A4F">
        <w:trPr>
          <w:trHeight w:val="844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19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在学校安全教育网络平台、安全教育资源库、科技馆等各类教育资源中融入安全教育内容。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省教育厅、省科协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省安委会其他相关成员单位；市、县（市、区）安委会</w:t>
            </w:r>
          </w:p>
        </w:tc>
      </w:tr>
      <w:tr w:rsidR="00141BF6" w:rsidRPr="00B75B04" w:rsidTr="00522A4F">
        <w:trPr>
          <w:trHeight w:val="614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20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完善应急预案，每学期至少组织一次以地震、火灾逃生、防踩踏等为主要内容的安全应急演练和体验教育。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省教育厅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省安委会其他相关成员单位；市、县（市、区）安委会</w:t>
            </w:r>
          </w:p>
        </w:tc>
      </w:tr>
      <w:tr w:rsidR="00141BF6" w:rsidRPr="00B75B04" w:rsidTr="00522A4F">
        <w:trPr>
          <w:trHeight w:val="423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lastRenderedPageBreak/>
              <w:t>21</w:t>
            </w:r>
          </w:p>
        </w:tc>
        <w:tc>
          <w:tcPr>
            <w:tcW w:w="1250" w:type="dxa"/>
            <w:vMerge w:val="restart"/>
            <w:vAlign w:val="center"/>
          </w:tcPr>
          <w:p w:rsidR="00141BF6" w:rsidRPr="00B75B04" w:rsidRDefault="00506F8E" w:rsidP="00894F34">
            <w:pPr>
              <w:spacing w:line="340" w:lineRule="exact"/>
              <w:rPr>
                <w:szCs w:val="21"/>
              </w:rPr>
            </w:pPr>
            <w:r w:rsidRPr="00B75B04">
              <w:rPr>
                <w:szCs w:val="21"/>
              </w:rPr>
              <w:t>进家庭</w:t>
            </w: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将家庭安全宣传教育纳入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最美家庭</w:t>
            </w:r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创建工作中。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省委宣传部（省文明办）、省妇联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</w:t>
            </w:r>
          </w:p>
        </w:tc>
      </w:tr>
      <w:tr w:rsidR="00141BF6" w:rsidRPr="00B75B04" w:rsidTr="00522A4F">
        <w:trPr>
          <w:trHeight w:val="430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22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广泛开展</w:t>
            </w:r>
            <w:r w:rsidRPr="00B75B04">
              <w:rPr>
                <w:sz w:val="24"/>
                <w:szCs w:val="24"/>
              </w:rPr>
              <w:t>“</w:t>
            </w:r>
            <w:r w:rsidRPr="00B75B04">
              <w:rPr>
                <w:sz w:val="24"/>
                <w:szCs w:val="24"/>
              </w:rPr>
              <w:t>进家庭五个</w:t>
            </w:r>
            <w:proofErr w:type="gramStart"/>
            <w:r w:rsidRPr="00B75B04">
              <w:rPr>
                <w:sz w:val="24"/>
                <w:szCs w:val="24"/>
              </w:rPr>
              <w:t>一</w:t>
            </w:r>
            <w:proofErr w:type="gramEnd"/>
            <w:r w:rsidRPr="00B75B04">
              <w:rPr>
                <w:sz w:val="24"/>
                <w:szCs w:val="24"/>
              </w:rPr>
              <w:t>”</w:t>
            </w:r>
            <w:r w:rsidRPr="00B75B04">
              <w:rPr>
                <w:sz w:val="24"/>
                <w:szCs w:val="24"/>
              </w:rPr>
              <w:t>公益宣传活动。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市、县（市、区）安委会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省安委会各成员单位</w:t>
            </w:r>
          </w:p>
        </w:tc>
      </w:tr>
      <w:tr w:rsidR="00141BF6" w:rsidRPr="00B75B04" w:rsidTr="00522A4F">
        <w:trPr>
          <w:trHeight w:val="305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23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积极</w:t>
            </w:r>
            <w:proofErr w:type="gramStart"/>
            <w:r w:rsidRPr="00B75B04">
              <w:rPr>
                <w:sz w:val="24"/>
                <w:szCs w:val="24"/>
              </w:rPr>
              <w:t>通过华数有线电视</w:t>
            </w:r>
            <w:proofErr w:type="gramEnd"/>
            <w:r w:rsidRPr="00B75B04">
              <w:rPr>
                <w:sz w:val="24"/>
                <w:szCs w:val="24"/>
              </w:rPr>
              <w:t>、应急广播、楼宇电梯广告等平台，持续开展应急管理、安全生产常识日常科普宣传工作。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省委宣传部、省应急管理厅、省广电局、省市场监管局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省安委会其他成员单位；市、县（市、区）安委会</w:t>
            </w:r>
          </w:p>
        </w:tc>
      </w:tr>
      <w:tr w:rsidR="00141BF6" w:rsidRPr="00B75B04" w:rsidTr="00522A4F">
        <w:trPr>
          <w:trHeight w:val="90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24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结合安全生产月、防灾减灾日、消防宣传月、全国交通安全日等广泛开展安全宣传主题志愿服务活动。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省应急管理厅、省委宣传部（省文明办）、省公安厅、省妇联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省安委会其他成员单位；市、县（市、区）安委会</w:t>
            </w:r>
          </w:p>
        </w:tc>
      </w:tr>
      <w:tr w:rsidR="00141BF6" w:rsidRPr="00B75B04" w:rsidTr="00522A4F">
        <w:trPr>
          <w:trHeight w:val="548"/>
          <w:jc w:val="center"/>
        </w:trPr>
        <w:tc>
          <w:tcPr>
            <w:tcW w:w="647" w:type="dxa"/>
            <w:vAlign w:val="center"/>
          </w:tcPr>
          <w:p w:rsidR="00141BF6" w:rsidRPr="00B75B04" w:rsidRDefault="00506F8E" w:rsidP="00894F34">
            <w:pPr>
              <w:spacing w:line="340" w:lineRule="exact"/>
              <w:jc w:val="center"/>
              <w:rPr>
                <w:szCs w:val="21"/>
              </w:rPr>
            </w:pPr>
            <w:r w:rsidRPr="00B75B04">
              <w:rPr>
                <w:szCs w:val="21"/>
              </w:rPr>
              <w:t>25</w:t>
            </w:r>
          </w:p>
        </w:tc>
        <w:tc>
          <w:tcPr>
            <w:tcW w:w="1250" w:type="dxa"/>
            <w:vMerge/>
            <w:vAlign w:val="center"/>
          </w:tcPr>
          <w:p w:rsidR="00141BF6" w:rsidRPr="00B75B04" w:rsidRDefault="00141BF6" w:rsidP="00894F34">
            <w:pPr>
              <w:spacing w:line="340" w:lineRule="exact"/>
              <w:rPr>
                <w:szCs w:val="21"/>
              </w:rPr>
            </w:pPr>
          </w:p>
        </w:tc>
        <w:tc>
          <w:tcPr>
            <w:tcW w:w="5925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建立并推广家庭应急物资储备清单，引导家庭储备简易应急物资。</w:t>
            </w:r>
          </w:p>
        </w:tc>
        <w:tc>
          <w:tcPr>
            <w:tcW w:w="2330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省妇联、市、县（市、区）安委会</w:t>
            </w:r>
          </w:p>
        </w:tc>
        <w:tc>
          <w:tcPr>
            <w:tcW w:w="4962" w:type="dxa"/>
            <w:vAlign w:val="center"/>
          </w:tcPr>
          <w:p w:rsidR="00141BF6" w:rsidRPr="00B75B04" w:rsidRDefault="00506F8E" w:rsidP="00B75B04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75B04">
              <w:rPr>
                <w:sz w:val="24"/>
                <w:szCs w:val="24"/>
              </w:rPr>
              <w:t>省应急管理厅、省科协</w:t>
            </w:r>
          </w:p>
        </w:tc>
      </w:tr>
    </w:tbl>
    <w:p w:rsidR="00141BF6" w:rsidRPr="00B75B04" w:rsidRDefault="00141BF6"/>
    <w:p w:rsidR="00141BF6" w:rsidRDefault="00141BF6"/>
    <w:p w:rsidR="00717566" w:rsidRDefault="00717566"/>
    <w:p w:rsidR="00717566" w:rsidRDefault="00717566"/>
    <w:p w:rsidR="00717566" w:rsidRPr="00C42D63" w:rsidRDefault="00717566" w:rsidP="00844108">
      <w:pPr>
        <w:jc w:val="right"/>
      </w:pPr>
    </w:p>
    <w:sectPr w:rsidR="00717566" w:rsidRPr="00C42D63" w:rsidSect="00522A4F">
      <w:footerReference w:type="default" r:id="rId9"/>
      <w:pgSz w:w="16838" w:h="11906" w:orient="landscape"/>
      <w:pgMar w:top="1588" w:right="1440" w:bottom="1588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29" w:rsidRDefault="00C05929">
      <w:r>
        <w:separator/>
      </w:r>
    </w:p>
  </w:endnote>
  <w:endnote w:type="continuationSeparator" w:id="0">
    <w:p w:rsidR="00C05929" w:rsidRDefault="00C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F6" w:rsidRDefault="00506F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81252" wp14:editId="15F375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BF6" w:rsidRDefault="00506F8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22A4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41BF6" w:rsidRDefault="00506F8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22A4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29" w:rsidRDefault="00C05929">
      <w:r>
        <w:separator/>
      </w:r>
    </w:p>
  </w:footnote>
  <w:footnote w:type="continuationSeparator" w:id="0">
    <w:p w:rsidR="00C05929" w:rsidRDefault="00C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AD6F"/>
    <w:multiLevelType w:val="singleLevel"/>
    <w:tmpl w:val="5F17AD6F"/>
    <w:lvl w:ilvl="0">
      <w:start w:val="1"/>
      <w:numFmt w:val="decimal"/>
      <w:suff w:val="nothing"/>
      <w:lvlText w:val="%1."/>
      <w:lvlJc w:val="left"/>
    </w:lvl>
  </w:abstractNum>
  <w:abstractNum w:abstractNumId="1">
    <w:nsid w:val="5F34ECCB"/>
    <w:multiLevelType w:val="singleLevel"/>
    <w:tmpl w:val="5F34ECCB"/>
    <w:lvl w:ilvl="0">
      <w:start w:val="1"/>
      <w:numFmt w:val="decimal"/>
      <w:suff w:val="nothing"/>
      <w:lvlText w:val="%1."/>
      <w:lvlJc w:val="left"/>
    </w:lvl>
  </w:abstractNum>
  <w:abstractNum w:abstractNumId="2">
    <w:nsid w:val="5F350421"/>
    <w:multiLevelType w:val="singleLevel"/>
    <w:tmpl w:val="5F350421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C1C42"/>
    <w:rsid w:val="00001BD9"/>
    <w:rsid w:val="00035555"/>
    <w:rsid w:val="000947A0"/>
    <w:rsid w:val="00141BF6"/>
    <w:rsid w:val="0029738E"/>
    <w:rsid w:val="002B05E2"/>
    <w:rsid w:val="002F0ABB"/>
    <w:rsid w:val="00366459"/>
    <w:rsid w:val="003C4678"/>
    <w:rsid w:val="00447931"/>
    <w:rsid w:val="004752A7"/>
    <w:rsid w:val="00506F8E"/>
    <w:rsid w:val="00522A4F"/>
    <w:rsid w:val="006B42F8"/>
    <w:rsid w:val="00717566"/>
    <w:rsid w:val="00793636"/>
    <w:rsid w:val="00815FED"/>
    <w:rsid w:val="00841C9F"/>
    <w:rsid w:val="00844108"/>
    <w:rsid w:val="008474DA"/>
    <w:rsid w:val="00894F34"/>
    <w:rsid w:val="00B75B04"/>
    <w:rsid w:val="00C05929"/>
    <w:rsid w:val="00C42D63"/>
    <w:rsid w:val="00CA5586"/>
    <w:rsid w:val="00D70A37"/>
    <w:rsid w:val="00E0192B"/>
    <w:rsid w:val="00F07957"/>
    <w:rsid w:val="00F1281E"/>
    <w:rsid w:val="00FE740C"/>
    <w:rsid w:val="04BB2648"/>
    <w:rsid w:val="13E23942"/>
    <w:rsid w:val="25196178"/>
    <w:rsid w:val="27692265"/>
    <w:rsid w:val="2D1A0CE9"/>
    <w:rsid w:val="34B52209"/>
    <w:rsid w:val="3C4D5DDF"/>
    <w:rsid w:val="3DC9668E"/>
    <w:rsid w:val="441824BC"/>
    <w:rsid w:val="45CF2E17"/>
    <w:rsid w:val="4E2D4762"/>
    <w:rsid w:val="5BD97541"/>
    <w:rsid w:val="65C54E17"/>
    <w:rsid w:val="67D45F90"/>
    <w:rsid w:val="680E3A07"/>
    <w:rsid w:val="6E441EE1"/>
    <w:rsid w:val="73BC094F"/>
    <w:rsid w:val="75C97C32"/>
    <w:rsid w:val="7DBB2986"/>
    <w:rsid w:val="7E8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rFonts w:ascii="Times New Roman" w:eastAsia="宋体" w:hAnsi="Times New Roman" w:cs="Times New Roman"/>
      <w:b/>
    </w:rPr>
  </w:style>
  <w:style w:type="paragraph" w:styleId="a6">
    <w:name w:val="header"/>
    <w:basedOn w:val="a"/>
    <w:link w:val="Char"/>
    <w:rsid w:val="0084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74DA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2B05E2"/>
    <w:rPr>
      <w:sz w:val="18"/>
      <w:szCs w:val="18"/>
    </w:rPr>
  </w:style>
  <w:style w:type="character" w:customStyle="1" w:styleId="Char0">
    <w:name w:val="批注框文本 Char"/>
    <w:basedOn w:val="a0"/>
    <w:link w:val="a7"/>
    <w:rsid w:val="002B05E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rFonts w:ascii="Times New Roman" w:eastAsia="宋体" w:hAnsi="Times New Roman" w:cs="Times New Roman"/>
      <w:b/>
    </w:rPr>
  </w:style>
  <w:style w:type="paragraph" w:styleId="a6">
    <w:name w:val="header"/>
    <w:basedOn w:val="a"/>
    <w:link w:val="Char"/>
    <w:rsid w:val="0084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74DA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2B05E2"/>
    <w:rPr>
      <w:sz w:val="18"/>
      <w:szCs w:val="18"/>
    </w:rPr>
  </w:style>
  <w:style w:type="character" w:customStyle="1" w:styleId="Char0">
    <w:name w:val="批注框文本 Char"/>
    <w:basedOn w:val="a0"/>
    <w:link w:val="a7"/>
    <w:rsid w:val="002B05E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374</Words>
  <Characters>2138</Characters>
  <Application>Microsoft Office Word</Application>
  <DocSecurity>0</DocSecurity>
  <Lines>17</Lines>
  <Paragraphs>5</Paragraphs>
  <ScaleCrop>false</ScaleCrop>
  <Company>浙江省安全生产监督管理局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</dc:creator>
  <cp:lastModifiedBy>李秀琪</cp:lastModifiedBy>
  <cp:revision>29</cp:revision>
  <cp:lastPrinted>2020-10-09T04:23:00Z</cp:lastPrinted>
  <dcterms:created xsi:type="dcterms:W3CDTF">2020-09-09T06:53:00Z</dcterms:created>
  <dcterms:modified xsi:type="dcterms:W3CDTF">2020-10-20T07:31:00Z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