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pacing w:after="150" w:afterAutospacing="0" w:line="420" w:lineRule="atLeast"/>
        <w:ind w:left="0" w:firstLine="420"/>
      </w:pPr>
      <w:r>
        <w:rPr>
          <w:rFonts w:ascii="微软雅黑" w:hAnsi="微软雅黑" w:eastAsia="微软雅黑" w:cs="微软雅黑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after="150" w:afterAutospacing="0" w:line="420" w:lineRule="atLeast"/>
        <w:ind w:left="0" w:firstLine="420"/>
        <w:jc w:val="center"/>
      </w:pPr>
      <w:r>
        <w:rPr>
          <w:rFonts w:ascii="微软雅黑" w:hAnsi="微软雅黑" w:eastAsia="微软雅黑" w:cs="微软雅黑"/>
          <w:bdr w:val="none" w:color="auto" w:sz="0" w:space="0"/>
        </w:rPr>
        <w:t>全省百项千亿水利项目进展情况表（建设类）</w:t>
      </w:r>
    </w:p>
    <w:tbl>
      <w:tblPr>
        <w:tblW w:w="1344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275"/>
        <w:gridCol w:w="862"/>
        <w:gridCol w:w="1200"/>
        <w:gridCol w:w="2475"/>
        <w:gridCol w:w="3338"/>
        <w:gridCol w:w="2505"/>
        <w:gridCol w:w="9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442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2019年“百项千亿”水利项目进展情况表（前期类）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项目编号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1-11月完成进度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进展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JS-094-KP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扩大杭嘉湖南排后续西部通道工程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力争完成项建审批、可研审查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JS-040-GD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东苕溪防洪后续西险大塘达标加固工程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力争完成项建审批、可研审查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JS-042-GD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杭州市富阳区北支江综合整治工程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CB-16-KP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杭州市富阳区南北渠分洪隧洞工程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完成项建审批、可研审查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CB-21-SK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杭州市临安区里畈水库加高扩容工程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完成项建审批、可研审查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项建已受理，可研在编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JS-113-SK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宁海县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天台县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宁海县清溪水库工程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CB-01-GD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温州市鹿城区瓯江治理二期工程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JS-038-GD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温州市龙湾区瓯江标准海塘提升改造工程（炮台山至龙江路段）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8-2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JS-038-GD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温州市龙湾区瓯江标准海塘提升改造工程（南口大桥至海滨围垦段）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CB-02-GD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瑞安市飞云江治理二期工程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完成可研修改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9-1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瑞安市飞云江治理二期工程（桐田段）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可研已审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JS-116-SK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永嘉县楠溪江河口大闸枢纽工程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CB-19-SK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永嘉县南岸水库工程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按国家部委有关要求开展前期工作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JS-081-KP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长兴县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环湖大堤（浙江段）后续工程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力争完成可研审批，新开工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CB-13-KP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南浔区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杭嘉湖北排通道后续工程（南浔段）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项建已受理，可研在编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CB-05-KP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太浦河后续工程（浙江段）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按国家部委有关要求开展前期工作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CB-15-KP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扩大杭嘉湖南排后续东部通道工程（骨干河道整治工程）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CB-04-KP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嘉善县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嘉兴中心河拓浚及河湖连通工程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JS-096-KP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扩大杭嘉湖南排南台头排涝后续工程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对接可研审批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CB-14-KP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海宁市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扩大杭嘉湖南排后续东部通道工程（麻泾港整治工程）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CB-17-KP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绍兴市新三江闸排涝配套河道拓浚工程（镜湖片）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JS-115-SK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义乌市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义乌市双江水利枢纽工程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CB-20-SK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浦江县双溪水库工程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JS-112-SK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磐安县流岸水库工程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对接可研审批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CB-18-SK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磐安县虬里水库工程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达成共识、深化前期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磐安与永康合作建设协商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JS-117-SK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衢州市柯城区寺桥水库工程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JS-111-SK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开化县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开化县开化水库工程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力争完成可研审批，新开工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CB-03-GD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舟山市海塘加固工程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完成项建报批、可研编制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JS-044-GD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台州市循环经济产业集聚区海塘提升工程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CB-12-KP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台州市金清港强排工程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研究提出工程建设方案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前期报告编制停滞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CB-10-KP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台州市七条河拓浚工程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一期前期报告编制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CB-08-KP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台州市永宁江闸强排工程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一期前期报告编制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CB-09-KP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台州市黄岩区北排工程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完成一期项建报批、可研编制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分期方案初步拟定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JS-033-GD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台州市椒江治理工程（临海段）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方案优化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JS-089-KP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台州市椒（灵）江建闸引水扩排工程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力争完成可研审批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可研在编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CB-11-KP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温岭市九龙汇调蓄工程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研究提出工程建设方案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前期报告编制停滞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JS-097-KP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玉环市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玉环市漩门湾拓浚扩排工程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项建已受理，可研在编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JS-045-GD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仙居县永安溪综合治理与生态修复二期工程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完成可研审批，新开工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对接可研审批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JS-036-GD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省本级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钱塘江管理中心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钱塘江北岸秧田庙至塔山坝段海塘工程（大缺口至塔山坝段堤脚防冲加固工程）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JS-008-GD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杭州市大江东钱塘江标准塘工程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西线完成项建审批、可研编制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对接项建受理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JS-079-KP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乐清市乐柳虹平原排涝工程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二期完成项建报批、可研编制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JS-088-KP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瑞安市温瑞平原南部排涝工程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二期完成项建报批、可研编制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前期报告编制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JS-086-KP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苍南县平阳县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温州市江西垟平原排涝工程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二期完成可研审批（平阳、苍南）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三期完成项建编制（苍南）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四期完成项建编制（平阳）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JS-073-KP</w:t>
            </w:r>
          </w:p>
        </w:tc>
        <w:tc>
          <w:tcPr>
            <w:tcW w:w="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苕溪清水入湖河道整治后续工程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市直管段、德清段、安吉段、长兴段完成可研审批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完成可研审查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JS-028-GD</w:t>
            </w:r>
          </w:p>
        </w:tc>
        <w:tc>
          <w:tcPr>
            <w:tcW w:w="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海盐县东段围涂标准海塘工程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二期完成可研审批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项建已受理 ，可研在编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JS-029-GD</w:t>
            </w:r>
          </w:p>
        </w:tc>
        <w:tc>
          <w:tcPr>
            <w:tcW w:w="8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市本级</w:t>
            </w:r>
          </w:p>
        </w:tc>
        <w:tc>
          <w:tcPr>
            <w:tcW w:w="24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丽水市大溪治理提升改造工程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完成可研审批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项建编制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滞后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5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注：严重滞后，红色；一般滞后，黄色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24216"/>
    <w:rsid w:val="0D620B6A"/>
    <w:rsid w:val="11924216"/>
    <w:rsid w:val="618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font81"/>
    <w:basedOn w:val="4"/>
    <w:uiPriority w:val="0"/>
    <w:rPr>
      <w:rFonts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8">
    <w:name w:val="font5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21"/>
    <w:basedOn w:val="4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10">
    <w:name w:val="font151"/>
    <w:basedOn w:val="4"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11">
    <w:name w:val="font0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91"/>
    <w:basedOn w:val="4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3">
    <w:name w:val="font31"/>
    <w:basedOn w:val="4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4">
    <w:name w:val="font141"/>
    <w:basedOn w:val="4"/>
    <w:uiPriority w:val="0"/>
    <w:rPr>
      <w:rFonts w:ascii="楷体_GB2312" w:eastAsia="楷体_GB2312" w:cs="楷体_GB2312"/>
      <w:color w:val="000000"/>
      <w:sz w:val="22"/>
      <w:szCs w:val="22"/>
      <w:u w:val="none"/>
    </w:rPr>
  </w:style>
  <w:style w:type="character" w:customStyle="1" w:styleId="15">
    <w:name w:val="font71"/>
    <w:basedOn w:val="4"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  <w:style w:type="character" w:customStyle="1" w:styleId="16">
    <w:name w:val="font131"/>
    <w:basedOn w:val="4"/>
    <w:uiPriority w:val="0"/>
    <w:rPr>
      <w:rFonts w:ascii="方正仿宋简体" w:hAnsi="方正仿宋简体" w:eastAsia="方正仿宋简体" w:cs="方正仿宋简体"/>
      <w:b/>
      <w:color w:val="000000"/>
      <w:sz w:val="20"/>
      <w:szCs w:val="20"/>
      <w:u w:val="none"/>
    </w:rPr>
  </w:style>
  <w:style w:type="character" w:customStyle="1" w:styleId="17">
    <w:name w:val="font101"/>
    <w:basedOn w:val="4"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2020-06-17T08:48:00Z</dcterms:created>
  <dc:creator>Gefm</dc:creator>
  <cp:lastModifiedBy>Gefm</cp:lastModifiedBy>
  <dcterms:modified xsi:type="dcterms:W3CDTF">2020-06-17T09:17:48Z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