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>91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浙江省水利厅办公室编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/FPk1gAAAAgBAAAPAAAAAAAAAAEAIAAAACIAAABkcnMvZG93bnJldi54bWxQSwECFAAUAAAACACH&#10;TuJAafCRz+0BAAC5AwAADgAAAAAAAAABACAAAAAlAQAAZHJzL2Uyb0RvYy54bWxQSwUGAAAAAAYA&#10;BgBZAQAAhA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16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2"/>
        <w:spacing w:line="40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龙游县做深做实河湖治理文章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绘好幸福流域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新画卷</w:t>
      </w:r>
    </w:p>
    <w:p>
      <w:pPr>
        <w:widowControl w:val="0"/>
        <w:spacing w:line="560" w:lineRule="exact"/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青田县念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eastAsia="zh-CN" w:bidi="ar"/>
        </w:rPr>
        <w:t>好“三字经”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 xml:space="preserve"> 谱写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bidi="ar"/>
        </w:rPr>
        <w:t>河湖长制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eastAsia="zh-CN" w:bidi="ar"/>
        </w:rPr>
        <w:t>新篇章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龙游县做深做实河湖治理文章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绘好幸福流域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新画卷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衢州市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龙游县以河湖长制为抓手，以幸福河湖建设为牵引，以数字化平台为依托，做深做实河湖治理文章，打造产城融合、活力灵动、生物多样的水生态环境，绘好幸福流域新画卷。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一是全流域治理，幸福河湖底色更亮。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河湖长制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联席会议制度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作为基层河湖治理体系的“主抓手”，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“水环境、水生态、水资源、水安全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开展上下游左右岸的联防联控，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249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名党政河湖长，3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7万余名民间河长常年活跃在河湖治理一线，构建了协调有力、保护有力、监管高效的河湖治理新格局。高品质打造美丽河湖创建7条，其中龙游的母亲河——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灵山港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入选为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全国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7个首批幸福河湖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试点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之一。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二是全链条贯通，绿色共富成色更足。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坚持水环境、水资源、水生态“三水”统筹，系统推进“污水零直排区”建设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中小河流整治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农田氮磷生态拦截沟渠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水产健康养殖示范场建设等治水工程，不断夯实生态本底。持续激活致富“水密码”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。随着水生态红利的释放，龙游县发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展了“一米鱼池”、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凤翔洲水文化公园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绿春湖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等多层次和综合性的水旅融合产业,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激发了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石斑鱼、灵山豆腐庙下酒等传统特色产业新活力，达到年产鱼苗1000万尾、商品鱼4万公斤，带动庙下乡50多户农户养殖石斑鱼，户均年增收万元以上。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三是全过程管控，数字监管特色更强。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探索河湖智慧管护机制，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由单一的执法处罚向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水域智治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转变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。以“沐尘之芯”和“世遗之芯”为重点构建数字沙盘，迭代升级河长在线等应用场景，打造“数字灵山港”幸福河湖智慧监管样板，将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大众护水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河长在线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”应用场景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接入基层治理四平台，纵向贯通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党政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河长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，横向联动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社会公众，实现河道非法采砂、涉水工程建设、污水排放等监管全覆盖。累计开展河长巡河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8974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次，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公众护水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24700人次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，立案调查偷倒养殖场排泄物1起，清缴地笼网150余副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，历年共完成绿水币兑换量1115700个，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问题解决率100%。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  <w:t>青田县念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eastAsia="zh-CN" w:bidi="ar"/>
        </w:rPr>
        <w:t>好“三字经”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 w:bidi="ar"/>
        </w:rPr>
        <w:t xml:space="preserve"> 谱写</w:t>
      </w:r>
      <w:r>
        <w:rPr>
          <w:rFonts w:ascii="Times New Roman" w:hAnsi="Times New Roman" w:eastAsia="方正小标宋简体" w:cs="Times New Roman"/>
          <w:color w:val="000000"/>
          <w:kern w:val="0"/>
          <w:sz w:val="43"/>
          <w:szCs w:val="43"/>
          <w:lang w:bidi="ar"/>
        </w:rPr>
        <w:t>河湖长制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eastAsia="zh-CN" w:bidi="ar"/>
        </w:rPr>
        <w:t>新篇章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丽水市青田县持续深化河湖长制，致力念好水生态保护“三字经”，确保河湖治理有能有效。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一是建章立制，在“统”字上下功夫。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党委政府高度重视，全面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建立河湖长制工作联席会议制度，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“九龙治水”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形成以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河湖治理保护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为中心，上下联动、横向协同、合力治水管水护水新格局。完善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河湖长制目标、制度、工作、评价“四个体系”，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明确职责分工，推进高效运转。对省、市部署的任务，做到“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事事有回音，件件有落实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二是聚焦履职，在“深”字上见实效。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开展基层河长业务培训，强化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任务交办、APP应用、举报受理、履职考核等全系统学习，进一步强化河长履职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健全信息动态更新机制。</w:t>
      </w:r>
      <w:r>
        <w:rPr>
          <w:rFonts w:ascii="Times New Roman" w:hAnsi="Times New Roman" w:eastAsia="仿宋_GB2312" w:cs="Times New Roman"/>
          <w:sz w:val="32"/>
          <w:szCs w:val="32"/>
        </w:rPr>
        <w:t>在浙水美丽应用平台完成473条河段名规范和216条上下级河段关联工作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，实时更新人员信息。</w:t>
      </w:r>
      <w:r>
        <w:rPr>
          <w:rFonts w:ascii="Times New Roman" w:hAnsi="Times New Roman" w:eastAsia="仿宋_GB2312" w:cs="Times New Roman"/>
          <w:sz w:val="32"/>
          <w:szCs w:val="32"/>
        </w:rPr>
        <w:t>搭设全县河长专属浙政钉通讯录架构，构建“上下游联动、左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右岸同治”模式。配备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300万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河道保洁专项资金，制定覆盖县乡村三级分配体系。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三是“经”“水”相合，在“融”字上做文章。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以河长制提质增效为契机，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致力农文旅融合发展，打造绿色共富新引擎。舒桥乡投资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8000万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发展傍水绿道经济，将沿溪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7个村串点成线，引入骑行、溯溪、漂流、露营等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滨水休闲项目，同步打造田园观光产业，拓展玉米、百合、西瓜、板栗等农副产品销路，助力村集体消薄增收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54.3万元。高市乡利用生态优势深挖人文资源，将伯温古村、石门渔村、黄镇村等村纳入美丽乡村精品村建设范畴，结合水文化展示点、亲水便民设施、景观小品，打造原汁原味古村落意境，实现文旅富民强乡。</w:t>
      </w:r>
    </w:p>
    <w:p>
      <w:pPr>
        <w:pStyle w:val="9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2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2"/>
        <w:spacing w:line="240" w:lineRule="auto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河长办《河湖长制工作》）</w:t>
      </w:r>
    </w:p>
    <w:p>
      <w:pPr>
        <w:pStyle w:val="2"/>
        <w:spacing w:line="240" w:lineRule="exact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/jszV&#10;AAAABgEAAA8AAAAAAAAAAQAgAAAAIgAAAGRycy9kb3ducmV2LnhtbFBLAQIUABQAAAAIAIdO4kAZ&#10;IMdN6gEAALg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水利部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办公厅、河湖司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，省政府办公厅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省河长办主任、副主任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省水利厅厅领导，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color w:val="auto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发：各市、县（市、区）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河长办、水利局，</w:t>
      </w:r>
      <w:r>
        <w:rPr>
          <w:rFonts w:hint="default" w:ascii="Times New Roman" w:hAnsi="Times New Roman" w:eastAsia="仿宋" w:cs="Times New Roman"/>
          <w:color w:val="auto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FUT&#10;scXqAQAAuAMAAA4AAAAAAAAAAQAgAAAAIwEAAGRycy9lMm9Eb2MueG1sUEsFBgAAAAAGAAYAWQEA&#10;AH8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签发：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邬杨明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核稿：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朱晓源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苗海涛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/>
          <w:color w:val="auto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745490</wp:posOffset>
            </wp:positionV>
            <wp:extent cx="1790700" cy="495300"/>
            <wp:effectExtent l="0" t="0" r="0" b="0"/>
            <wp:wrapNone/>
            <wp:docPr id="1" name="图片 5" descr="浙江水利_（2022年第91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浙江水利_（2022年第91期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jHMsDuoBAAC4AwAADgAAAAAAAAABACAAAAAl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color w:val="auto"/>
          <w:sz w:val="28"/>
          <w:szCs w:val="28"/>
        </w:rPr>
        <w:t>浙江省水利厅办公室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 202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2</w:t>
      </w:r>
      <w:r>
        <w:rPr>
          <w:rFonts w:ascii="Times New Roman" w:hAnsi="Times New Roman" w:eastAsia="仿宋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仿宋"/>
          <w:color w:val="auto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77DC9"/>
    <w:rsid w:val="76A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adjustRightInd w:val="0"/>
      <w:snapToGrid w:val="0"/>
      <w:ind w:firstLine="420" w:firstLineChars="200"/>
      <w:jc w:val="left"/>
    </w:pPr>
    <w:rPr>
      <w:u w:val="none" w:color="auto"/>
    </w:rPr>
  </w:style>
  <w:style w:type="paragraph" w:styleId="3">
    <w:name w:val="Body Text Indent"/>
    <w:basedOn w:val="1"/>
    <w:qFormat/>
    <w:uiPriority w:val="0"/>
    <w:pPr>
      <w:widowControl w:val="0"/>
      <w:spacing w:line="240" w:lineRule="auto"/>
      <w:ind w:firstLine="640" w:firstLineChars="200"/>
      <w:textAlignment w:val="auto"/>
    </w:pPr>
    <w:rPr>
      <w:rFonts w:hint="eastAsia" w:ascii="仿宋_GB2312" w:eastAsia="仿宋_GB2312"/>
      <w:color w:val="auto"/>
      <w:kern w:val="2"/>
      <w:sz w:val="32"/>
      <w:szCs w:val="24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2022-12-16T07:18:00Z</dcterms:created>
  <dc:creator>聂婷</dc:creator>
  <cp:lastModifiedBy>聂婷</cp:lastModifiedBy>
  <cp:lastPrinted>2022-12-16T07:19:09Z</cp:lastPrinted>
  <dcterms:modified xsi:type="dcterms:W3CDTF">2022-12-16T07:19:34Z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