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w:bookmarkStart w:id="0" w:name="_GoBack"/>
      <w:bookmarkEnd w:id="0"/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>98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浙江省水利厅办公室编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/FPk1gAAAAgBAAAPAAAAAAAAAAEAIAAAACIAAABkcnMvZG93bnJldi54bWxQSwECFAAUAAAACACH&#10;TuJAafCRz+0BAAC5AwAADgAAAAAAAAABACAAAAAlAQAAZHJzL2Uyb0RvYy54bWxQSwUGAAAAAAYA&#10;BgBZAQAAh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28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40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eastAsia="zh-CN"/>
        </w:rPr>
        <w:t>宁海县念好“三字经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”织密河湖管护网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南湖区打好“三场战役” 推动河湖长制提档升级</w:t>
      </w:r>
    </w:p>
    <w:p>
      <w:pPr>
        <w:widowControl w:val="0"/>
        <w:spacing w:line="560" w:lineRule="exact"/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松阳县河长治水走在前 松古灌区展新颜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25" w:beforeAutospacing="0" w:after="3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宁海县念好“三字经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”织密河湖管护网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宁波市宁海县多措并举念好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instrText xml:space="preserve"> HYPERLINK "http://www.baidu.com/link?url=Sm9onCqsNwRHpMYjJJiCNFhxsuDALf30EtKYzhnCRP7h_GAQt-OxtuNF9SvjcmDhNLE0OTV8Xx6wwxGsRAC810VfZXsIHHifoEVqvFYwS6oX8efy0JZ7jA8vFZ-5-i6-" \t "https://www.baidu.com/_blank" </w:instrTex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“三字经”，狠抓河湖长制管理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，织密河湖管护网。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一是念好任务分工“管”字经。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制定《宁海县全面推行河湖长制工作联席会议工作规则》，联合县综合执法局等18个县级部门，从水资源保护、河湖岸线管理、水污染防治、水环境治理、水生态修复、执法监督6个方面细化河湖管理保护任务，逐条逐项落实到人头、细化到节点、明确到单位，确保全年河湖管理保护任务按期按质推进。目前已完成整改河湖“四乱”问题42处，清理乱堆3.89万立方，拆除乱占7000平方，拆除乱建1500余平方，查处非法采砂3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二是念好监管提升“快”字经。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县级河湖长牵头动态修编河湖圈流域治理“一河（湖）一策”，实行“21715事件处置工作法”，各级河湖长收到问题报告后，2个工作日内确定问题责任主体，1天内办结轻微问题，7个工作日内办结一般问题，15个工作日内办结重大问题。截至目前，已办理公众协管问题8533件，公众举报问题635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三是念好立体巡河“数”字经。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构建“天上看、地上查、河上巡、网上管”立体监管模式，完成人工巡河17138次，借助“甬水美丽”数字化平台、无人机等，常态化开展巡河问河，完成县域18个河道、7个大中型水库和天明湖52次无人机巡查。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南湖区打好“三场战役” 推动河湖长制提档升级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今年以来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，嘉兴市南湖区牢牢锚定“两个先行”的奋斗目标，打好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“高效协作、数字赋能、全域幸福”三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场战役，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纵深推进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河湖长制提档升级。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一是上下同欲，打好高效协作整体战。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坚持高位推进，区委书记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联合召开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区级总河长会议，共同签发总河长令，深化年度河湖长制工作，形成一级抓一级、层层抓落实的工作格局，助力江南水乡幸福新高地建设。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深化部门协同，建立河湖长制工作联席会议工作机制，明确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个联席会议成员单位职责，细化全年湖长制工作要点，合力推动重点工作落实。提升服务能力，区河长办当好服务河湖长的“河小二”，通过浙政钉、短信、电话的“三端提醒”及定期当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面的“上门服务”，提高河湖长整体履职水平。截至目前，河湖长巡河率和问题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处置率较年初显著提升，其中巡河率提升10.3%、问题及时处置率提升33.3%。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二是整体智治，打好数字赋能主动战。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运用卫星遥感、无人机航测、物联网感知、水下探测等手段，打造多维度、全视角的“天空地人水”监管网络，全面提升发现涉水问题的能力。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以全省水域监管“一件事”建设试点为契机，上线“水云监”应用，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构建水上云智管、水下云智控、全景云汇聚、处置云协同4个子场景，推进基层水域监管全链条闭环。开发河湖长“云上巡河”功能，汇集河湖高清影像、视频监控、存在问题，让河湖长沉浸式、立体式巡河，及时发现问题、交办处置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现问题同步推送相应河湖长，协调推进问题整改落实，提高涉水重大问题处置能力。应用正式上线1个月以来，累计推送预警628条，联动巡河1588人次，问题整改137起，清理建筑和生活垃圾50吨、非法占用河道岸线1.4公里，拆除违法建筑1560平方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b w:val="0"/>
          <w:bCs w:val="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三是共建共治，打好全域幸福主体战。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充分发挥河湖长牵头抓总作用，聚焦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“断头浜”民生痛点，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统筹水利、生态、建设等部门建设，按照“因地制宜、一浜一策”原则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量身定制治理方案，科学高效开展断头浜“复活”工程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，打通河湖治理末端，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全面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改善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水环境。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目前，全区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累计完成断头浜治理85条,清除淤泥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5万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方,打捞沉船1426吨,水质稳定在III类水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。建立美丽河湖建设全周期联动机制，河湖长共同参与美丽河湖建设前期谋划，协调推进工程建设，监督项目验收工程质量及长效管护落实，打造水更清、河更畅、岸更绿、景更美、共同富裕更可感的美丽河湖品牌。截至目前，全区已建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美丽河湖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条，其中省级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美丽河湖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，为全域幸福河湖建设打下坚实基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础。</w:t>
      </w: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松阳县河长治水走在前 松古灌区展新颜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近年来，丽水市松阳县坚持在生态文明建设方面持续发力，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深入推进河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实现了水域向“水清景美”的转变，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历经千年的松古灌区再次焕发新机。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一是系统推进，让灌区安澜。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制度先行，全力护水保安定。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年以来不断深化河长制，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《松古灌区灌溉工程遗产保护规划》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《松阳县河道保洁实施方案》等方案规划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，在保障灌区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水利工程功能可持续发挥基础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保护水资源、防治水污染、改善水环境、修复水生态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依托小港综合治理工程、松古平原水系综合治理工程等项目打好防洪排涝基础，进一步确保灌区在保障社会稳定方面的巨大作用。项目保障，全面治水助生产。松古灌区是丽水市（古称“处州”）最大的产粮区，素有“松阳熟，处州足”之说。现代松阳立足筑牢生产屏障，重点推进强库、固堤、扩排等三类工程建设。自2019年以来，松阳县已累计投入资金近1.3亿元，新建和修复堰坝117座、渠道165公里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实现水资源的可持续利用，进一步提高水资源利用率，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为灌区内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用水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提供坚实保障。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“河长”接续，促进人水和谐。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今年，松古灌区入选第九批世界灌溉工程遗产名录，这一结果来自于古今“河长”的接续用力。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在松阳档案馆存档的古水利榜文记载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有“圳长”“堰长”的说法，与现如今的“河长”有着异曲同工之处，是研究古代“河长制”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起源的实物史料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。从古至今，不变的是凝聚民间力量共同治水的精神。广泛的社会参与让治水成为全民行动，促进了人与水的和谐共生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综合治理，让灌区美丽。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析水情，定“河长”。松阳县按照“织密水网，压实责任”的要求，选优配强县、乡、村三级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387名河长，编织起层级清晰、责任明确、推进有力的河道管护网络。全面压实河长责任，落实河长徒步巡河制度，做到各级河长对负责的区域水系水情了然于胸。通过设立河长公示牌、河道“健康卡”、绘制河道水情作战图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制定包干河道“一河一策”治理方案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等措施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确保重点项目顺利推进，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为灌区水域实现长效整治提供了组织和制度保障。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清三河”，迎“碧水”。松阳县紧盯源头治理，切断垃圾入河途径。投入资金7400万元，改造提升废水集中处理中心，补齐全县不锈钢行业总氮排放监管短板。投入资金480万元，新建改造项目36个，全面加强农村生活污水治理设施建设。在松阴溪干流推行保洁市场化运作模式，对尚未纳入市场化运作范围的河道，按照属地原则，实行村庄、河道一体化保洁模式，有效巩固“清三河”治理成果，为松古灌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营造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了洁净的水生态环境。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重创建，“美”河湖。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全力推进中小河流治理，2022年以来，依托小港综合治理工程和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幸福河湖试点县等项目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开展河道清淤工程5个，疏浚淤积料约8万立方米，进一步畅通水网，提升河道生态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环境。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松阴溪境内60.5公里的河道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全部完成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划界，松古平原段32公里河道实现全线监控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，进一步加强了水资源保护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。目前全县累计创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省级美丽河湖7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条，实现松古灌区水生态环境由“清”到“美”的蝶变。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融合发展，让灌区惠民。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着重水治理，让水生态“怡人”。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在松阴溪建设治理中最大限度依循河流走势，保留树木、河滩地，每年开展鱼类增殖放流；建成黄圩、石门等一批“小而精、小而美、小而特”的精品驿站；利用溪滩地、江心岛等资源，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在松阴溪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沿线建成了生态滩、力溪湖、在河舟等一批优美的生态湿地公园，给松古灌区增添了多种风情，给松阳人民带来了悠闲娱乐的好去处，进一步提升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了人民群众的幸福感。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讲好水故事，让水文化“润心”。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为讲好灌区故事，打响灌区品牌，松阳县建成占地3.5万平方米，水域面积1.2万平方米，包括水利博物馆、堰湖公园和白沙水利枢纽在内的水文化公园，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全面展示了松阳县千年治水历史变迁以及近年来治水工作成果。水文化公园集科学普及、学生研学和市民娱乐于一体，拓宽了水情教育辐射面。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挖掘水价值，让水经济“富民”。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在坚持“水岸同治”的基础上，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松阳县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充分整合灌区的人文历史和自然资源，注入生态旅游、运动休闲、文化科普等新型业态，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开设马拉松运动线路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、举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办松阴溪钓鱼节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、引入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瓦窑头文旅商业综合体项目等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，借助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美丽河湖、水美乡村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、中小河流治理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让古堰坝的生态价值、生态优势、生态竞争力得到进一步释放。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spacing w:line="240" w:lineRule="auto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河长办《河湖长制工作》）</w:t>
      </w:r>
    </w:p>
    <w:p>
      <w:pPr>
        <w:spacing w:line="240" w:lineRule="exact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/jszV&#10;AAAABgEAAA8AAAAAAAAAAQAgAAAAIgAAAGRycy9kb3ducmV2LnhtbFBLAQIUABQAAAAIAIdO4kAZ&#10;IMdN6gEAALg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水利部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办公厅、河湖司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，省政府办公厅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省河长办主任、副主任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省水利厅厅领导，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color w:val="auto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发：各市、县（市、区）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河长办、水利局，</w:t>
      </w:r>
      <w:r>
        <w:rPr>
          <w:rFonts w:hint="default" w:ascii="Times New Roman" w:hAnsi="Times New Roman" w:eastAsia="仿宋" w:cs="Times New Roman"/>
          <w:color w:val="auto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FUT&#10;scX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签发：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邬杨明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核稿：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朱晓源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苗海涛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jHMsDuoBAAC4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color w:val="auto"/>
          <w:sz w:val="28"/>
          <w:szCs w:val="28"/>
        </w:rPr>
        <w:t>浙江省水利厅办公室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 202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2</w:t>
      </w:r>
      <w:r>
        <w:rPr>
          <w:rFonts w:ascii="Times New Roman" w:hAnsi="Times New Roman" w:eastAsia="仿宋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"/>
          <w:color w:val="auto"/>
          <w:sz w:val="28"/>
          <w:szCs w:val="28"/>
        </w:rPr>
        <w:t>日印发</w:t>
      </w:r>
    </w:p>
    <w:p>
      <w:r>
        <w:rPr>
          <w:rFonts w:hint="default" w:ascii="Times New Roman" w:hAnsi="Times New Roman" w:eastAsia="宋体"/>
          <w:color w:val="auto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351790</wp:posOffset>
            </wp:positionV>
            <wp:extent cx="1790700" cy="495300"/>
            <wp:effectExtent l="0" t="0" r="0" b="0"/>
            <wp:wrapNone/>
            <wp:docPr id="2" name="图片 7" descr="浙江水利_（2022年第98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浙江水利_（2022年第98期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MTQ5NDcwNjRjZWMzOGYxY2ZmY2E5ZjdiYjkxZTcifQ=="/>
  </w:docVars>
  <w:rsids>
    <w:rsidRoot w:val="38202946"/>
    <w:rsid w:val="38202946"/>
    <w:rsid w:val="5A7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next w:val="6"/>
    <w:unhideWhenUsed/>
    <w:qFormat/>
    <w:uiPriority w:val="99"/>
    <w:pPr>
      <w:spacing w:after="120"/>
      <w:ind w:firstLine="420"/>
    </w:pPr>
    <w:rPr>
      <w:rFonts w:ascii="Times New Roman" w:hAnsi="Times New Roman"/>
      <w:szCs w:val="32"/>
    </w:rPr>
  </w:style>
  <w:style w:type="paragraph" w:styleId="6">
    <w:name w:val="Body Text First Indent"/>
    <w:basedOn w:val="5"/>
    <w:next w:val="1"/>
    <w:qFormat/>
    <w:uiPriority w:val="99"/>
    <w:pPr>
      <w:spacing w:line="500" w:lineRule="exact"/>
    </w:pPr>
    <w:rPr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11">
    <w:name w:val="page number"/>
    <w:qFormat/>
    <w:uiPriority w:val="0"/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Body Text Indent1"/>
    <w:basedOn w:val="1"/>
    <w:qFormat/>
    <w:uiPriority w:val="0"/>
    <w:pPr>
      <w:widowControl/>
      <w:spacing w:line="580" w:lineRule="exact"/>
      <w:ind w:firstLine="600"/>
      <w:jc w:val="left"/>
    </w:pPr>
    <w:rPr>
      <w:rFonts w:ascii="黑体" w:hAnsi="宋体" w:eastAsia="黑体"/>
      <w:color w:val="000000"/>
      <w:kern w:val="0"/>
      <w:sz w:val="28"/>
      <w:szCs w:val="2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3363</Words>
  <Characters>3469</Characters>
  <Lines>0</Lines>
  <Paragraphs>0</Paragraphs>
  <TotalTime>1</TotalTime>
  <ScaleCrop>false</ScaleCrop>
  <LinksUpToDate>false</LinksUpToDate>
  <CharactersWithSpaces>3564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2023-01-03T01:58:00Z</dcterms:created>
  <dc:creator>聂婷</dc:creator>
  <cp:lastModifiedBy>张正松</cp:lastModifiedBy>
  <dcterms:modified xsi:type="dcterms:W3CDTF">2023-01-03T07:12:29Z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EC15AFD5D81B406D845B9AB227872967</vt:lpwstr>
  </property>
</Properties>
</file>