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ind w:right="-19" w:rightChars="-9" w:firstLine="0" w:firstLineChars="0"/>
        <w:jc w:val="center"/>
        <w:outlineLvl w:val="0"/>
        <w:rPr>
          <w:rFonts w:ascii="Times New Roman" w:hAnsi="Times New Roman" w:eastAsia="华文行楷" w:cs="Times New Roman"/>
          <w:color w:val="FF0000"/>
          <w:sz w:val="140"/>
          <w:szCs w:val="140"/>
        </w:rPr>
      </w:pPr>
      <w:r>
        <w:rPr>
          <w:rFonts w:ascii="Times New Roman" w:hAnsi="Times New Roman" w:eastAsia="华文行楷" w:cs="Times New Roman"/>
          <w:color w:val="FF0000"/>
          <w:sz w:val="140"/>
          <w:szCs w:val="140"/>
        </w:rPr>
        <w:t>浙 江 水 利</w:t>
      </w:r>
    </w:p>
    <w:p>
      <w:pPr>
        <w:autoSpaceDE w:val="0"/>
        <w:autoSpaceDN w:val="0"/>
        <w:adjustRightInd w:val="0"/>
        <w:spacing w:before="156" w:beforeLines="50" w:line="360" w:lineRule="atLeast"/>
        <w:ind w:right="-19" w:rightChars="-9" w:firstLine="0" w:firstLineChars="0"/>
        <w:jc w:val="center"/>
        <w:outlineLvl w:val="0"/>
        <w:rPr>
          <w:rFonts w:ascii="Times New Roman" w:hAnsi="Times New Roman" w:eastAsia="楷体" w:cs="Times New Roman"/>
          <w:color w:val="000000"/>
          <w:sz w:val="28"/>
          <w:szCs w:val="28"/>
        </w:rPr>
      </w:pPr>
      <w:r>
        <w:rPr>
          <w:rFonts w:ascii="Times New Roman" w:hAnsi="Times New Roman" w:eastAsia="楷体" w:cs="Times New Roman"/>
          <w:color w:val="000000"/>
          <w:sz w:val="28"/>
          <w:szCs w:val="28"/>
        </w:rPr>
        <w:t>（2022年第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66</w:t>
      </w:r>
      <w:r>
        <w:rPr>
          <w:rFonts w:ascii="Times New Roman" w:hAnsi="Times New Roman" w:eastAsia="楷体" w:cs="Times New Roman"/>
          <w:color w:val="000000"/>
          <w:sz w:val="28"/>
          <w:szCs w:val="28"/>
        </w:rPr>
        <w:t>期）</w:t>
      </w:r>
    </w:p>
    <w:p>
      <w:pPr>
        <w:widowControl/>
        <w:spacing w:line="360" w:lineRule="exact"/>
        <w:ind w:right="-19" w:rightChars="-9" w:firstLine="640" w:firstLineChars="200"/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600" w:lineRule="exact"/>
        <w:ind w:firstLine="0" w:firstLineChars="0"/>
        <w:jc w:val="both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  <w:r>
        <w:rPr>
          <w:rFonts w:ascii="Times New Roman" w:hAnsi="Times New Roman" w:eastAsia="仿宋"/>
          <w:color w:val="000000"/>
          <w:sz w:val="28"/>
          <w:szCs w:val="28"/>
        </w:rPr>
        <w:t>浙江省水利厅办公室编</w: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385445</wp:posOffset>
                </wp:positionV>
                <wp:extent cx="5687695" cy="0"/>
                <wp:effectExtent l="0" t="12700" r="8255" b="1587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45pt;margin-top:30.35pt;height:0pt;width:447.85pt;z-index:251659264;mso-width-relative:page;mso-height-relative:page;" filled="f" stroked="t" coordsize="21600,21600" o:gfxdata="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s&#10;/FPk1gAAAAgBAAAPAAAAAAAAAAEAIAAAACIAAABkcnMvZG93bnJldi54bWxQSwECFAAUAAAACACH&#10;TuJAafCRz+0BAAC5AwAADgAAAAAAAAABACAAAAAlAQAAZHJzL2Uyb0RvYy54bWxQSwUGAAAAAAYA&#10;BgBZAQAAhAUAAAAA&#10;">
                <v:path arrowok="t"/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                               </w: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w:t>202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2</w: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w:t>-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-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2</w:t>
      </w:r>
    </w:p>
    <w:p>
      <w:pPr>
        <w:spacing w:line="200" w:lineRule="exact"/>
        <w:ind w:firstLine="0" w:firstLineChars="0"/>
        <w:jc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200" w:lineRule="exact"/>
        <w:ind w:firstLine="0" w:firstLineChars="0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pStyle w:val="7"/>
        <w:spacing w:line="400" w:lineRule="exact"/>
        <w:ind w:firstLine="0" w:firstLineChars="0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jc w:val="left"/>
        <w:outlineLvl w:val="9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东文宋体" w:cs="Times New Roman"/>
          <w:color w:val="auto"/>
          <w:sz w:val="32"/>
          <w:szCs w:val="32"/>
        </w:rPr>
        <w:t>●</w:t>
      </w:r>
      <w:r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  <w:t>临安区深化河湖长制 “一江清水出临安”</w:t>
      </w:r>
    </w:p>
    <w:p>
      <w:pPr>
        <w:spacing w:line="660" w:lineRule="exact"/>
        <w:jc w:val="left"/>
        <w:outlineLvl w:val="9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东文宋体" w:cs="Times New Roman"/>
          <w:color w:val="auto"/>
          <w:sz w:val="32"/>
          <w:szCs w:val="32"/>
        </w:rPr>
        <w:t>●</w:t>
      </w:r>
      <w:r>
        <w:rPr>
          <w:rFonts w:hint="eastAsia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柯城区强化河长履职 </w:t>
      </w:r>
      <w:r>
        <w:rPr>
          <w:rFonts w:hint="eastAsia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实现</w:t>
      </w:r>
      <w:r>
        <w:rPr>
          <w:rFonts w:hint="eastAsia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河湖</w:t>
      </w:r>
      <w:r>
        <w:rPr>
          <w:rFonts w:hint="eastAsia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“</w:t>
      </w:r>
      <w:r>
        <w:rPr>
          <w:rFonts w:hint="eastAsia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净清美</w:t>
      </w:r>
      <w:r>
        <w:rPr>
          <w:rFonts w:hint="eastAsia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临安区深化河湖长制 “一江清水出临安”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杭州市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临安区以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全面推行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河湖长制联席会议制度为契机，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推进数字治水、精准治水、全域治水，不断提升全域水环境质量。截至目前，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全域水质实现Ⅲ类以上，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其中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Ⅱ类水以上超过85%，昌化溪、昌南溪等多处河段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实现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I类水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市控及以上地表水水质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均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达到Ⅱ类及以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上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，出境交接断面水质月均值达到Ⅱ类及以上的比例为97.9%，较2012年提高了39.6%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，真正做到了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“一江清水出临安”。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lang w:val="en-US" w:eastAsia="zh-CN"/>
        </w:rPr>
        <w:t>一是坚持齐抓共管，强化责任体系。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以“三级联动”推动“联合治水”，构建党政同责、属地负责、部门协同、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社会联动的工作机制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，形成一级抓一级、层层抓落实的工作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格局。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强化党政责任网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建立全面推行河湖长制工作联席会议制度，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建立健全区、镇、村三级责任体系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织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密基层共护网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，引导群众百姓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广泛参与河道监督管理，169名来自不同领域、不同行业的热心人士受聘为“民间河长”，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区域范围内的238家企业、42000余名农村党员认领责任河道，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机关干部、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党员团员、妇联及临网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义工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等各层面分别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组建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志愿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服务队，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积极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开展巡河、保洁等活动，治水网络得到进一步延展与细化。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完善考核监督网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将河长制工作目标完成情况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纳入全区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综合考评体系，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持续深化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人大代表评议河（湖）长履职制度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对巡查、治理等情况进行统一评测，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以治水成效“论英雄”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对履职不到位的实行约谈、问责。设立《今日关注》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曝光专栏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用社会监督倒逼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治水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动真碰硬。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lang w:val="en-US" w:eastAsia="zh-CN"/>
        </w:rPr>
        <w:t>二是坚持数字赋能，提升管护水平。</w:t>
      </w:r>
      <w:r>
        <w:rPr>
          <w:rFonts w:hint="eastAsia" w:ascii="仿宋_GB2312" w:hAnsi="仿宋" w:eastAsia="仿宋_GB2312" w:cs="仿宋"/>
          <w:spacing w:val="0"/>
          <w:sz w:val="32"/>
          <w:szCs w:val="32"/>
          <w:lang w:val="en-US" w:eastAsia="zh-CN"/>
        </w:rPr>
        <w:t>坚持将数字化改革贯穿河湖管护的全过程、全领域，进一步拓宽多跨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应用场景，着力打造高效科学的智治体系，全面提升河湖长履职效率和管护能力。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破解空间制约，实现“坐地监管”。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建立全省首个VR巡河系统，工作人员及普通群众均可通过影像传输，实时查看水质环境、河道设施等情况，巡河时间、巡河路径、问题收集处置等信息可同步保存归集，巡河的高效性和精准性得到大幅提升。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破解时间制约，实现“全程监管”。持续推进“智慧河道”建设，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打造智慧河道系统管控平台，建设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覆盖21条区级河道的视频监控、自动水站等设施，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所有监测数据全部接入管控平台，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实现水质、水位、险情等全方位在线感知、实时预警。破解边界制约，实现“精准监管”。建成智慧排水驾驶舱，埋在主城区地下450公里的污水管网包括13个监测点、23座泵站、66家工业企业排口均纳入智慧监</w:t>
      </w:r>
      <w:r>
        <w:rPr>
          <w:rFonts w:hint="eastAsia" w:ascii="仿宋_GB2312" w:hAnsi="仿宋" w:eastAsia="仿宋_GB2312" w:cs="仿宋"/>
          <w:b w:val="0"/>
          <w:bCs w:val="0"/>
          <w:spacing w:val="0"/>
          <w:sz w:val="32"/>
          <w:szCs w:val="32"/>
          <w:lang w:val="en-US" w:eastAsia="zh-CN"/>
        </w:rPr>
        <w:t>管系统。借助智慧管网地理信息等系统，可实时对所有污水管网进行动态监测和可视化巡查，一旦发现异常能够快速响应、及时处置。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both"/>
        <w:textAlignment w:val="auto"/>
        <w:rPr>
          <w:rFonts w:hint="eastAsia" w:ascii="Times New Roman" w:hAnsi="Times New Roman" w:eastAsia="黑体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lang w:val="en-US" w:eastAsia="zh-CN"/>
        </w:rPr>
        <w:t>三是坚持试点先行，提升河湖品质。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作为省级幸福河湖试点县，临安区坚持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/>
        </w:rPr>
        <w:t>“一河一策”“一库一策”，精心打造水清岸绿、鱼跃人欢的幸福河湖。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推进南苕溪、天目溪、昌化溪流域综合治理工程，开展青山湖流域水环境治理三年行动计划等，八大工程40个项目稳步推进，目前城区三溪提升改造已全面完成，青山水库水质年均值、透明度正向湖库Ⅲ类标准、80厘米以上靠近。推动岸线品质提升，以“浙江最美绿道”青山湖环湖绿道为代表的滨水绿道网全域铺开，目前累计创成省市级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“美丽河湖”9条（个），建成水美乡镇7个，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真正实现还湖于民、还景于民。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0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0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0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0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0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0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0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0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0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0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0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 xml:space="preserve">柯城区强化河长履职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实现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河湖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净清美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衢州市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柯城区始终把水利建设和水环境治理作为全面推行河长制工作的“重头戏”，以机制为抓手、以问题为导向、以富民为目标，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全面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深化河长制工作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</w:rPr>
        <w:t>紧紧抓住巡河这一关键节点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  <w:t>，确保河长巡河率、巡河频次达到100%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  <w:t>以“河长制”带动“河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  <w:t>治”，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</w:rPr>
        <w:t>全区河湖经历了“净”“清”“美”的华丽升级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一是建立责任体系，河流划界“上户口”。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柯城区辖区河道水域面积约20.17平方公里，有乡级河道227条，总长550.52公里。早在2013年，柯城区开始推行河长制之初，就完成了全区重点河道定边划界工作，明确了河道保护范围，建立了“横向到边，纵向到底”的河湖管理保护监管网格。同时建立“党政领导、县乡村三级河长”管理责任体系，给河流上“户口”，实现每条河流、每个河段的常态化巡河。2022年，柯城区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建立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全面推行河湖长制工作联席会议制度，进一步强化河湖长制工作的统筹协调，构建责任明确、协调有序、监管严格、保护有力的河湖管理保护机制，推进全区河湖长制迭代升级，开启水治理新篇章。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  <w:t>二是突出重点整治，河湖面貌“换新颜”。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  <w:t>为进一步做好河长制工作，近年来，柯城区严格按照上级河长制工作相关要求，持续开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  <w:t>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  <w:t>范围内河湖清“四乱”行动。对发现的“四乱”问题，区河长办牵头，各乡镇、街道组织当地水利、生态环境、住建、城管、农业农村、自然资源等部门，综合运用天上遥感、空中监测、地面监控、现场巡河等多种手段，进行全覆盖、拉网式全面排查，不留空白、不留死角。以“河长制”推动“河长治”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  <w:t>统筹做好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  <w:t>“水资源保护、水污染防治、水生态修复、河岸线管理”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  <w:t>等工作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  <w:t>，推动治水向“深层次、高标准、全覆盖、常态化、可富民”发展。石梁溪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水生态环境的改善，带来了旅游产业发展的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良机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。龙门客栈、金庸书屋、盐帮码头等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10余个景点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陆续建成，集武侠文化、生态文化、生活服务为一体的绿色经济带和自然风光带，正一步步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成为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生态效益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带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和经济效益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带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三是强化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履职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培训，河长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spacing w:val="0"/>
          <w:sz w:val="32"/>
          <w:szCs w:val="32"/>
          <w:shd w:val="clear" w:color="auto" w:fill="auto"/>
        </w:rPr>
        <w:t>巡河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“百分百”。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柯城区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坚持履职必先培训，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  <w:t>围绕河长巡河应“巡什么”，要“做什么”，以及“五必巡”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  <w:t>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  <w:t>开展培训，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  <w:t>提升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  <w:t>“河长有效巡河”能力。建立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  <w:t>每月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  <w:t>提醒机制，河长APP技术员及时发布未巡河人员情况，避免漏巡。建立每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  <w:t>通报机制，全面梳理区域河湖情况、巡河问题，并对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  <w:t>当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月河长巡河履职情况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  <w:t>进行通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报，抓紧抓严责任落实。目前，全区乡镇级以上巡河率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村级河长巡河率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问题处理率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达100%。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  <w:t>同时，积极组织民间河长、“蓝马甲”志愿服务队开展巡河护河活动，广泛发动群众注册衢州市公众护水平台。目前，柯城区已组建55支“蓝马甲”志愿服务队，每年5000余人次参与治水护水行动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  <w:t>；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  <w:t>注册公众护水平台人数达52000余人，注册人数和活跃度均保持全市前列。</w:t>
      </w:r>
    </w:p>
    <w:p>
      <w:pPr>
        <w:numPr>
          <w:ilvl w:val="0"/>
          <w:numId w:val="0"/>
        </w:numPr>
        <w:spacing w:line="560" w:lineRule="exact"/>
        <w:ind w:firstLine="596" w:firstLineChars="200"/>
        <w:rPr>
          <w:rFonts w:hint="default" w:ascii="Times New Roman" w:hAnsi="Times New Roman" w:eastAsia="仿宋_GB2312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ind w:lef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</w:p>
    <w:p>
      <w:pPr>
        <w:pStyle w:val="7"/>
        <w:ind w:firstLine="0" w:firstLineChars="0"/>
        <w:jc w:val="left"/>
        <w:rPr>
          <w:rFonts w:hint="default" w:ascii="Times New Roman" w:hAnsi="Times New Roman" w:eastAsia="仿宋_GB2312"/>
          <w:color w:val="auto"/>
          <w:sz w:val="18"/>
          <w:szCs w:val="18"/>
        </w:rPr>
      </w:pPr>
    </w:p>
    <w:p>
      <w:pPr>
        <w:pStyle w:val="7"/>
        <w:ind w:firstLine="0" w:firstLineChars="0"/>
        <w:jc w:val="left"/>
        <w:rPr>
          <w:rFonts w:hint="default" w:ascii="Times New Roman" w:hAnsi="Times New Roman" w:eastAsia="仿宋_GB2312"/>
          <w:color w:val="auto"/>
          <w:sz w:val="18"/>
          <w:szCs w:val="18"/>
        </w:rPr>
      </w:pPr>
    </w:p>
    <w:p>
      <w:pPr>
        <w:pStyle w:val="7"/>
        <w:spacing w:line="240" w:lineRule="auto"/>
        <w:ind w:firstLine="0" w:firstLineChars="0"/>
        <w:jc w:val="right"/>
        <w:rPr>
          <w:rFonts w:hint="default" w:ascii="Times New Roman" w:hAnsi="Times New Roman"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eastAsia="zh-CN"/>
        </w:rPr>
        <w:t>省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河长办《河湖长制工作》）</w:t>
      </w:r>
    </w:p>
    <w:p>
      <w:pPr>
        <w:pStyle w:val="7"/>
        <w:spacing w:line="240" w:lineRule="exact"/>
        <w:ind w:firstLine="0" w:firstLineChars="0"/>
        <w:jc w:val="right"/>
        <w:rPr>
          <w:rFonts w:hint="default" w:ascii="Times New Roman" w:hAnsi="Times New Roman" w:eastAsia="仿宋_GB2312"/>
          <w:color w:val="auto"/>
          <w:sz w:val="32"/>
          <w:szCs w:val="32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left="0" w:leftChars="0" w:firstLine="0" w:firstLineChars="0"/>
        <w:jc w:val="both"/>
        <w:textAlignment w:val="auto"/>
        <w:rPr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19050</wp:posOffset>
                </wp:positionV>
                <wp:extent cx="56794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pt;margin-top:1.5pt;height:0pt;width:447.2pt;z-index:251660288;mso-width-relative:page;mso-height-relative:page;" filled="f" stroked="t" coordsize="21600,21600" o:gfxdata="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J/jszV&#10;AAAABgEAAA8AAAAAAAAAAQAgAAAAIgAAAGRycy9kb3ducmV2LnhtbFBLAQIUABQAAAAIAIdO4kAZ&#10;IMdN6gEAALgDAAAOAAAAAAAAAAEAIAAAACQBAABkcnMvZTJvRG9jLnhtbFBLBQYAAAAABgAGAFkB&#10;AACABQAAAAA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报：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省级河长，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水利部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办公厅、河湖司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，省政府办公厅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left="560" w:leftChars="0" w:hanging="560" w:hangingChars="200"/>
        <w:jc w:val="both"/>
        <w:textAlignment w:val="auto"/>
        <w:rPr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t>送：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省河长办主任、副主任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，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eastAsia="zh-CN"/>
        </w:rPr>
        <w:t>省水利厅厅领导，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省河湖长制工作联席会议成员单位，各市、县（市、区）党委政府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560" w:leftChars="0" w:hanging="560" w:hangingChars="200"/>
        <w:textAlignment w:val="auto"/>
        <w:rPr>
          <w:rFonts w:ascii="Times New Roman" w:hAnsi="Times New Roman" w:eastAsia="仿宋" w:cs="Times New Roman"/>
          <w:color w:val="auto"/>
          <w:spacing w:val="-20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t>发：各市、县（市、区）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河长办、水利局，</w:t>
      </w:r>
      <w:r>
        <w:rPr>
          <w:rFonts w:hint="default" w:ascii="Times New Roman" w:hAnsi="Times New Roman" w:eastAsia="仿宋" w:cs="Times New Roman"/>
          <w:color w:val="auto"/>
          <w:spacing w:val="-20"/>
          <w:sz w:val="28"/>
          <w:szCs w:val="28"/>
          <w:lang w:eastAsia="zh-CN"/>
        </w:rPr>
        <w:t>水利厅有关处室、单位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9" w:leftChars="0" w:hanging="9" w:firstLineChars="0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22225</wp:posOffset>
                </wp:positionV>
                <wp:extent cx="567944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2pt;margin-top:1.75pt;height:0pt;width:447.2pt;z-index:251661312;mso-width-relative:page;mso-height-relative:page;" filled="f" stroked="t" coordsize="21600,21600" o:gfxdata="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znhdtQA&#10;AAAGAQAADwAAAAAAAAABACAAAAAiAAAAZHJzL2Rvd25yZXYueG1sUEsBAhQAFAAAAAgAh07iQFUT&#10;scXqAQAAuAMAAA4AAAAAAAAAAQAgAAAAIwEAAGRycy9lMm9Eb2MueG1sUEsFBgAAAAAGAAYAWQEA&#10;AH8FAAAAAA=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签发：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/>
        </w:rPr>
        <w:t>邬杨明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 xml:space="preserve">      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 xml:space="preserve"> 核稿：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/>
        </w:rPr>
        <w:t>朱晓源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 xml:space="preserve"> 编辑：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苗海涛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" w:cs="Times New Roman"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417830</wp:posOffset>
                </wp:positionV>
                <wp:extent cx="56794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9pt;margin-top:32.9pt;height:0pt;width:447.2pt;z-index:251663360;mso-width-relative:page;mso-height-relative:page;" filled="f" stroked="t" coordsize="21600,21600" o:gfxdata="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0nt3j&#10;1gAAAAgBAAAPAAAAAAAAAAEAIAAAACIAAABkcnMvZG93bnJldi54bWxQSwECFAAUAAAACACHTuJA&#10;jHMsDuoBAAC4AwAADgAAAAAAAAABACAAAAAlAQAAZHJzL2Uyb0RvYy54bWxQSwUGAAAAAAYABgBZ&#10;AQAAgQUAAAAA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" w:cs="Times New Roman"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35560</wp:posOffset>
                </wp:positionV>
                <wp:extent cx="56794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2pt;margin-top:2.8pt;height:0pt;width:447.2pt;z-index:251662336;mso-width-relative:page;mso-height-relative:page;" filled="f" stroked="t" coordsize="21600,21600" o:gfxdata="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H7YaH1AAA&#10;AAYBAAAPAAAAAAAAAAEAIAAAACIAAABkcnMvZG93bnJldi54bWxQSwECFAAUAAAACACHTuJAvzn8&#10;CekBAAC4AwAADgAAAAAAAAABACAAAAAjAQAAZHJzL2Uyb0RvYy54bWxQSwUGAAAAAAYABgBZAQAA&#10;fgUAAAAA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"/>
          <w:color w:val="auto"/>
          <w:sz w:val="28"/>
          <w:szCs w:val="28"/>
        </w:rPr>
        <w:t>浙江省水利厅办公室</w:t>
      </w:r>
      <w:r>
        <w:rPr>
          <w:rFonts w:hint="default" w:ascii="Times New Roman" w:hAnsi="Times New Roman" w:eastAsia="仿宋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ascii="Times New Roman" w:hAnsi="Times New Roman" w:eastAsia="仿宋"/>
          <w:color w:val="auto"/>
          <w:sz w:val="28"/>
          <w:szCs w:val="28"/>
        </w:rPr>
        <w:t xml:space="preserve">  </w:t>
      </w:r>
      <w:r>
        <w:rPr>
          <w:rFonts w:hint="default" w:ascii="Times New Roman" w:hAnsi="Times New Roman" w:eastAsia="仿宋"/>
          <w:color w:val="auto"/>
          <w:sz w:val="28"/>
          <w:szCs w:val="28"/>
          <w:lang w:val="en-US" w:eastAsia="zh-CN"/>
        </w:rPr>
        <w:t xml:space="preserve">         </w:t>
      </w:r>
      <w:r>
        <w:rPr>
          <w:rFonts w:ascii="Times New Roman" w:hAnsi="Times New Roman" w:eastAsia="仿宋"/>
          <w:color w:val="auto"/>
          <w:sz w:val="28"/>
          <w:szCs w:val="28"/>
        </w:rPr>
        <w:t xml:space="preserve">   202</w:t>
      </w:r>
      <w:r>
        <w:rPr>
          <w:rFonts w:hint="default" w:ascii="Times New Roman" w:hAnsi="Times New Roman" w:eastAsia="仿宋"/>
          <w:color w:val="auto"/>
          <w:sz w:val="28"/>
          <w:szCs w:val="28"/>
        </w:rPr>
        <w:t>2</w:t>
      </w:r>
      <w:r>
        <w:rPr>
          <w:rFonts w:ascii="Times New Roman" w:hAnsi="Times New Roman" w:eastAsia="仿宋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仿宋"/>
          <w:color w:val="auto"/>
          <w:sz w:val="28"/>
          <w:szCs w:val="28"/>
          <w:lang w:val="en-US" w:eastAsia="zh-CN"/>
        </w:rPr>
        <w:t>11</w:t>
      </w:r>
      <w:r>
        <w:rPr>
          <w:rFonts w:ascii="Times New Roman" w:hAnsi="Times New Roman" w:eastAsia="仿宋"/>
          <w:color w:val="auto"/>
          <w:sz w:val="28"/>
          <w:szCs w:val="28"/>
        </w:rPr>
        <w:t>月</w:t>
      </w:r>
      <w:r>
        <w:rPr>
          <w:rFonts w:hint="eastAsia" w:ascii="Times New Roman" w:hAnsi="Times New Roman" w:eastAsia="仿宋"/>
          <w:color w:val="auto"/>
          <w:sz w:val="28"/>
          <w:szCs w:val="28"/>
          <w:lang w:val="en-US" w:eastAsia="zh-CN"/>
        </w:rPr>
        <w:t>10</w:t>
      </w:r>
      <w:r>
        <w:rPr>
          <w:rFonts w:ascii="Times New Roman" w:hAnsi="Times New Roman" w:eastAsia="仿宋"/>
          <w:color w:val="auto"/>
          <w:sz w:val="28"/>
          <w:szCs w:val="28"/>
        </w:rPr>
        <w:t>日印发</w:t>
      </w:r>
    </w:p>
    <w:p/>
    <w:sectPr>
      <w:footerReference r:id="rId3" w:type="default"/>
      <w:footerReference r:id="rId4" w:type="even"/>
      <w:pgSz w:w="11906" w:h="16838"/>
      <w:pgMar w:top="2154" w:right="1502" w:bottom="1984" w:left="1502" w:header="850" w:footer="1474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ascii="Times New Roman" w:hAnsi="Times New Roman"/>
        <w:sz w:val="28"/>
      </w:rPr>
      <w:t xml:space="preserve">— </w:t>
    </w:r>
    <w:r>
      <w:rPr>
        <w:rFonts w:ascii="Times New Roman" w:hAnsi="Times New Roman"/>
        <w:sz w:val="28"/>
      </w:rPr>
      <w:fldChar w:fldCharType="begin"/>
    </w:r>
    <w:r>
      <w:rPr>
        <w:rStyle w:val="10"/>
        <w:rFonts w:ascii="Times New Roman" w:hAnsi="Times New Roman"/>
        <w:sz w:val="28"/>
      </w:rPr>
      <w:instrText xml:space="preserve"> PAGE </w:instrText>
    </w:r>
    <w:r>
      <w:rPr>
        <w:rFonts w:ascii="Times New Roman" w:hAnsi="Times New Roman"/>
        <w:sz w:val="28"/>
      </w:rPr>
      <w:fldChar w:fldCharType="separate"/>
    </w:r>
    <w:r>
      <w:rPr>
        <w:rStyle w:val="10"/>
        <w:rFonts w:ascii="Times New Roman" w:hAnsi="Times New Roman"/>
        <w:sz w:val="28"/>
      </w:rPr>
      <w:t>2</w:t>
    </w:r>
    <w:r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Times New Roman" w:hAnsi="Times New Roman"/>
        <w:sz w:val="28"/>
      </w:rPr>
      <w:t xml:space="preserve">— </w:t>
    </w:r>
    <w:r>
      <w:rPr>
        <w:rFonts w:ascii="Times New Roman" w:hAnsi="Times New Roman"/>
        <w:sz w:val="28"/>
      </w:rPr>
      <w:fldChar w:fldCharType="begin"/>
    </w:r>
    <w:r>
      <w:rPr>
        <w:rStyle w:val="10"/>
        <w:rFonts w:ascii="Times New Roman" w:hAnsi="Times New Roman"/>
        <w:sz w:val="28"/>
      </w:rPr>
      <w:instrText xml:space="preserve"> PAGE </w:instrText>
    </w:r>
    <w:r>
      <w:rPr>
        <w:rFonts w:ascii="Times New Roman" w:hAnsi="Times New Roman"/>
        <w:sz w:val="28"/>
      </w:rPr>
      <w:fldChar w:fldCharType="separate"/>
    </w:r>
    <w:r>
      <w:rPr>
        <w:rStyle w:val="10"/>
        <w:rFonts w:ascii="Times New Roman" w:hAnsi="Times New Roman"/>
        <w:sz w:val="28"/>
      </w:rPr>
      <w:t>2</w:t>
    </w:r>
    <w:r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D7A78"/>
    <w:rsid w:val="1D3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  <w:rPr>
      <w:sz w:val="32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Body Text First Indent 2"/>
    <w:basedOn w:val="1"/>
    <w:unhideWhenUsed/>
    <w:qFormat/>
    <w:uiPriority w:val="99"/>
    <w:pPr>
      <w:widowControl/>
      <w:adjustRightInd w:val="0"/>
      <w:snapToGrid w:val="0"/>
      <w:ind w:firstLine="420" w:firstLineChars="200"/>
      <w:jc w:val="left"/>
    </w:pPr>
    <w:rPr>
      <w:u w:val="none" w:color="auto"/>
    </w:rPr>
  </w:style>
  <w:style w:type="character" w:styleId="10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2022-11-10T02:10:00Z</dcterms:created>
  <dc:creator>聂婷</dc:creator>
  <cp:lastModifiedBy>聂婷</cp:lastModifiedBy>
  <dcterms:modified xsi:type="dcterms:W3CDTF">2022-11-10T02:11:02Z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