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document.xml" ContentType="application/vnd.openxmlformats-officedocument.wordprocessingml.document.main+xml"/>
  <Override PartName="/word/drawings/drawing1.xml" ContentType="application/vnd.openxmlformats-officedocument.drawingml.chartshapes+xml"/>
  <Override PartName="/word/drawings/drawing10.xml" ContentType="application/vnd.openxmlformats-officedocument.drawingml.chartshapes+xml"/>
  <Override PartName="/word/drawings/drawing11.xml" ContentType="application/vnd.openxmlformats-officedocument.drawingml.chartshapes+xml"/>
  <Override PartName="/word/drawings/drawing12.xml" ContentType="application/vnd.openxmlformats-officedocument.drawingml.chartshapes+xml"/>
  <Override PartName="/word/drawings/drawing13.xml" ContentType="application/vnd.openxmlformats-officedocument.drawingml.chartshapes+xml"/>
  <Override PartName="/word/drawings/drawing14.xml" ContentType="application/vnd.openxmlformats-officedocument.drawingml.chartshapes+xml"/>
  <Override PartName="/word/drawings/drawing15.xml" ContentType="application/vnd.openxmlformats-officedocument.drawingml.chartshapes+xml"/>
  <Override PartName="/word/drawings/drawing16.xml" ContentType="application/vnd.openxmlformats-officedocument.drawingml.chartshapes+xml"/>
  <Override PartName="/word/drawings/drawing2.xml" ContentType="application/vnd.openxmlformats-officedocument.drawingml.chartshap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Override PartName="/word/drawings/drawing8.xml" ContentType="application/vnd.openxmlformats-officedocument.drawingml.chartshapes+xml"/>
  <Override PartName="/word/drawings/drawing9.xml" ContentType="application/vnd.openxmlformats-officedocument.drawingml.chartshap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水利民生实事</w:t>
      </w:r>
      <w:r>
        <w:rPr>
          <w:rFonts w:ascii="方正小标宋简体" w:hAnsi="方正小标宋简体" w:eastAsia="方正小标宋简体" w:cs="方正小标宋简体"/>
          <w:sz w:val="44"/>
          <w:szCs w:val="44"/>
        </w:rPr>
        <w:t>7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月工作进展</w:t>
      </w:r>
    </w:p>
    <w:p>
      <w:pPr>
        <w:spacing w:line="560" w:lineRule="exact"/>
        <w:jc w:val="center"/>
        <w:rPr>
          <w:rFonts w:ascii="Times New Roman" w:hAnsi="Times New Roman" w:eastAsia="楷体_GB2312" w:cs="Times New Roman"/>
          <w:sz w:val="32"/>
          <w:szCs w:val="32"/>
        </w:rPr>
      </w:pPr>
      <w:r>
        <w:rPr>
          <w:rFonts w:ascii="Times New Roman" w:hAnsi="Times New Roman" w:eastAsia="楷体_GB2312" w:cs="Times New Roman"/>
          <w:sz w:val="32"/>
          <w:szCs w:val="32"/>
        </w:rPr>
        <w:t>（截至7月31日）</w:t>
      </w:r>
    </w:p>
    <w:p>
      <w:pPr>
        <w:spacing w:line="560" w:lineRule="exact"/>
        <w:rPr>
          <w:rFonts w:ascii="CESI黑体-GB2312" w:hAnsi="CESI黑体-GB2312" w:eastAsia="CESI黑体-GB2312" w:cs="CESI黑体-GB2312"/>
          <w:sz w:val="32"/>
          <w:szCs w:val="32"/>
        </w:rPr>
      </w:pPr>
      <w:r>
        <w:rPr>
          <w:rFonts w:hint="eastAsia" w:ascii="CESI黑体-GB2312" w:hAnsi="CESI黑体-GB2312" w:eastAsia="CESI黑体-GB2312" w:cs="CESI黑体-GB2312"/>
          <w:sz w:val="32"/>
          <w:szCs w:val="32"/>
        </w:rPr>
        <w:t xml:space="preserve">    </w:t>
      </w:r>
    </w:p>
    <w:p>
      <w:pPr>
        <w:spacing w:line="560" w:lineRule="exact"/>
        <w:ind w:firstLine="640" w:firstLineChars="200"/>
        <w:rPr>
          <w:rFonts w:ascii="CESI黑体-GB2312" w:hAnsi="CESI黑体-GB2312" w:eastAsia="CESI黑体-GB2312" w:cs="CESI黑体-GB2312"/>
          <w:sz w:val="32"/>
          <w:szCs w:val="32"/>
        </w:rPr>
      </w:pPr>
      <w:r>
        <w:rPr>
          <w:rFonts w:hint="eastAsia" w:ascii="CESI黑体-GB2312" w:hAnsi="CESI黑体-GB2312" w:eastAsia="CESI黑体-GB2312" w:cs="CESI黑体-GB2312"/>
          <w:sz w:val="32"/>
          <w:szCs w:val="32"/>
        </w:rPr>
        <w:t>一、工作总体进展</w:t>
      </w:r>
    </w:p>
    <w:p>
      <w:pPr>
        <w:pStyle w:val="6"/>
        <w:spacing w:after="158" w:afterLines="50" w:line="560" w:lineRule="exact"/>
        <w:ind w:left="0" w:leftChars="0"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仿宋_GB2312" w:hAnsi="CESI黑体-GB2312" w:eastAsia="仿宋_GB2312" w:cs="CESI黑体-GB2312"/>
          <w:sz w:val="32"/>
          <w:szCs w:val="32"/>
        </w:rPr>
        <w:t>截至7月31日，“浙里平安”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水利民生实事</w:t>
      </w:r>
      <w:r>
        <w:rPr>
          <w:rFonts w:hint="eastAsia" w:ascii="仿宋_GB2312" w:eastAsia="仿宋_GB2312"/>
          <w:sz w:val="32"/>
          <w:szCs w:val="32"/>
        </w:rPr>
        <w:t>总体平均进度</w:t>
      </w:r>
      <w:r>
        <w:rPr>
          <w:rFonts w:ascii="仿宋_GB2312" w:eastAsia="仿宋_GB2312"/>
          <w:sz w:val="32"/>
          <w:szCs w:val="32"/>
        </w:rPr>
        <w:t>98.19</w:t>
      </w:r>
      <w:r>
        <w:rPr>
          <w:rFonts w:hint="eastAsia" w:ascii="仿宋_GB2312" w:eastAsia="仿宋_GB2312"/>
          <w:sz w:val="32"/>
          <w:szCs w:val="32"/>
        </w:rPr>
        <w:t>%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（低于全省平均</w:t>
      </w:r>
      <w:r>
        <w:rPr>
          <w:rFonts w:ascii="仿宋_GB2312" w:eastAsia="仿宋_GB2312"/>
          <w:sz w:val="32"/>
          <w:szCs w:val="32"/>
        </w:rPr>
        <w:t>98.53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%），在省级部门中排名第</w:t>
      </w:r>
      <w:r>
        <w:rPr>
          <w:rFonts w:ascii="Times New Roman" w:hAnsi="Times New Roman" w:eastAsia="仿宋_GB2312" w:cs="Times New Roman"/>
          <w:sz w:val="32"/>
          <w:szCs w:val="32"/>
        </w:rPr>
        <w:t>8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、十方面民生实事排名第</w:t>
      </w:r>
      <w:r>
        <w:rPr>
          <w:rFonts w:ascii="Times New Roman" w:hAnsi="Times New Roman" w:eastAsia="仿宋_GB2312" w:cs="Times New Roman"/>
          <w:sz w:val="32"/>
          <w:szCs w:val="32"/>
        </w:rPr>
        <w:t>7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；任务完成率</w:t>
      </w:r>
      <w:r>
        <w:rPr>
          <w:rFonts w:ascii="Times New Roman" w:hAnsi="Times New Roman" w:eastAsia="仿宋_GB2312" w:cs="Times New Roman"/>
          <w:sz w:val="32"/>
          <w:szCs w:val="32"/>
        </w:rPr>
        <w:t>82.02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%（低于全省平均</w:t>
      </w:r>
      <w:r>
        <w:rPr>
          <w:rFonts w:ascii="Times New Roman" w:hAnsi="Times New Roman" w:eastAsia="仿宋_GB2312" w:cs="Times New Roman"/>
          <w:sz w:val="32"/>
          <w:szCs w:val="32"/>
        </w:rPr>
        <w:t>94.01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%），在省级部门中排名第</w:t>
      </w:r>
      <w:r>
        <w:rPr>
          <w:rFonts w:ascii="Times New Roman" w:hAnsi="Times New Roman" w:eastAsia="仿宋_GB2312" w:cs="Times New Roman"/>
          <w:sz w:val="32"/>
          <w:szCs w:val="32"/>
        </w:rPr>
        <w:t>10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、十方面民生实事排名第</w:t>
      </w:r>
      <w:r>
        <w:rPr>
          <w:rFonts w:ascii="Times New Roman" w:hAnsi="Times New Roman" w:eastAsia="仿宋_GB2312" w:cs="Times New Roman"/>
          <w:sz w:val="32"/>
          <w:szCs w:val="32"/>
        </w:rPr>
        <w:t>9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</w:p>
    <w:p>
      <w:pPr>
        <w:jc w:val="center"/>
      </w:pPr>
      <w:r>
        <w:t xml:space="preserve"> </w:t>
      </w:r>
      <w:r>
        <w:pict>
          <v:shape id="_x0000_i1025" o:spt="75" type="#_x0000_t75" style="height:309.65pt;width:175.35pt;" filled="f" o:preferrelative="t" stroked="f" coordsize="21600,21600">
            <v:path/>
            <v:fill on="f" focussize="0,0"/>
            <v:stroke on="f" joinstyle="miter"/>
            <v:imagedata r:id="rId4" cropleft="4789f" croptop="6907f" cropright="4542f" cropbottom="10978f" o:title="微信图片_20220812085105"/>
            <o:lock v:ext="edit" aspectratio="t"/>
            <w10:wrap type="none"/>
            <w10:anchorlock/>
          </v:shape>
        </w:pict>
      </w:r>
      <w:r>
        <w:t xml:space="preserve">     </w:t>
      </w:r>
      <w:r>
        <w:pict>
          <v:shape id="_x0000_i1026" o:spt="75" type="#_x0000_t75" style="height:311.35pt;width:176.6pt;" filled="f" o:preferrelative="t" stroked="f" coordsize="21600,21600">
            <v:path/>
            <v:fill on="f" focussize="0,0"/>
            <v:stroke on="f" joinstyle="miter"/>
            <v:imagedata r:id="rId5" cropleft="4542f" croptop="6912f" cropright="4542f" cropbottom="10801f" o:title="微信图片_20220812085102"/>
            <o:lock v:ext="edit" aspectratio="t"/>
            <w10:wrap type="none"/>
            <w10:anchorlock/>
          </v:shape>
        </w:pict>
      </w:r>
    </w:p>
    <w:p>
      <w:pPr>
        <w:spacing w:line="560" w:lineRule="exact"/>
        <w:ind w:firstLine="640"/>
        <w:rPr>
          <w:rFonts w:ascii="仿宋_GB2312" w:hAnsi="CESI黑体-GB2312" w:eastAsia="仿宋_GB2312" w:cs="CESI黑体-GB2312"/>
          <w:sz w:val="32"/>
          <w:szCs w:val="32"/>
        </w:rPr>
      </w:pPr>
      <w:r>
        <w:rPr>
          <w:rFonts w:hint="eastAsia" w:ascii="仿宋_GB2312" w:hAnsi="CESI黑体-GB2312" w:eastAsia="仿宋_GB2312" w:cs="CESI黑体-GB2312"/>
          <w:sz w:val="32"/>
          <w:szCs w:val="32"/>
        </w:rPr>
        <w:t>（二）“浙里平安”6项水利民生实事分项比较</w:t>
      </w:r>
    </w:p>
    <w:p>
      <w:pPr>
        <w:spacing w:line="560" w:lineRule="exact"/>
        <w:ind w:firstLine="640"/>
        <w:rPr>
          <w:rFonts w:ascii="仿宋_GB2312" w:hAnsi="CESI黑体-GB2312" w:eastAsia="仿宋_GB2312" w:cs="CESI黑体-GB2312"/>
          <w:sz w:val="32"/>
          <w:szCs w:val="32"/>
        </w:rPr>
      </w:pPr>
      <w:r>
        <w:rPr>
          <w:rFonts w:hint="eastAsia" w:ascii="仿宋_GB2312" w:hAnsi="CESI黑体-GB2312" w:eastAsia="仿宋_GB2312" w:cs="CESI黑体-GB2312"/>
          <w:sz w:val="32"/>
          <w:szCs w:val="32"/>
        </w:rPr>
        <w:t>从进度看，提升灌溉设施和改造供水管网两项实事较快，进度接近100%；山塘、水库、中小河流较去年同期增长15个百分点以上；提标加固海塘审批难度最大，进度推进相对滞后。</w:t>
      </w:r>
    </w:p>
    <w:p>
      <w:pPr>
        <w:jc w:val="center"/>
        <w:rPr>
          <w:rFonts w:ascii="仿宋_GB2312" w:hAnsi="CESI黑体-GB2312" w:eastAsia="仿宋_GB2312" w:cs="CESI黑体-GB2312"/>
          <w:sz w:val="32"/>
          <w:szCs w:val="32"/>
        </w:rPr>
      </w:pPr>
      <w:r>
        <w:drawing>
          <wp:inline distT="0" distB="0" distL="0" distR="0">
            <wp:extent cx="5652770" cy="2333625"/>
            <wp:effectExtent l="0" t="0" r="5080" b="9525"/>
            <wp:docPr id="3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>
      <w:pPr>
        <w:spacing w:line="560" w:lineRule="exact"/>
        <w:ind w:firstLine="640"/>
        <w:rPr>
          <w:rFonts w:ascii="仿宋_GB2312" w:hAnsi="CESI黑体-GB2312" w:eastAsia="仿宋_GB2312" w:cs="CESI黑体-GB2312"/>
          <w:sz w:val="32"/>
          <w:szCs w:val="32"/>
        </w:rPr>
      </w:pPr>
      <w:r>
        <w:rPr>
          <w:rFonts w:hint="eastAsia" w:ascii="仿宋_GB2312" w:hAnsi="CESI黑体-GB2312" w:eastAsia="仿宋_GB2312" w:cs="CESI黑体-GB2312"/>
          <w:sz w:val="32"/>
          <w:szCs w:val="32"/>
        </w:rPr>
        <w:t>从完成率看，改造供水管网和提升灌溉设施两项实事较高，均已超额完成计划任务;中小河流治理提升最为明显，较上月提升74个百分点；病险山塘整治、水库除险加固提升30个百分点左右。</w:t>
      </w:r>
    </w:p>
    <w:p>
      <w:pPr>
        <w:jc w:val="center"/>
        <w:rPr>
          <w:rFonts w:ascii="仿宋_GB2312" w:hAnsi="CESI黑体-GB2312" w:eastAsia="仿宋_GB2312" w:cs="CESI黑体-GB2312"/>
          <w:sz w:val="32"/>
          <w:szCs w:val="32"/>
        </w:rPr>
      </w:pPr>
      <w:r>
        <w:drawing>
          <wp:inline distT="0" distB="0" distL="0" distR="0">
            <wp:extent cx="5652770" cy="2572385"/>
            <wp:effectExtent l="0" t="0" r="5080" b="18415"/>
            <wp:docPr id="4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>
      <w:pPr>
        <w:spacing w:line="560" w:lineRule="exact"/>
        <w:ind w:firstLine="640"/>
        <w:rPr>
          <w:rFonts w:ascii="仿宋_GB2312" w:hAnsi="CESI黑体-GB2312" w:eastAsia="仿宋_GB2312" w:cs="CESI黑体-GB2312"/>
          <w:sz w:val="32"/>
          <w:szCs w:val="32"/>
        </w:rPr>
      </w:pPr>
      <w:r>
        <w:rPr>
          <w:rFonts w:hint="eastAsia" w:ascii="仿宋_GB2312" w:hAnsi="CESI黑体-GB2312" w:eastAsia="仿宋_GB2312" w:cs="CESI黑体-GB2312"/>
          <w:sz w:val="32"/>
          <w:szCs w:val="32"/>
        </w:rPr>
        <w:t>（三）“浙里平安”水利民生实事分市比较</w:t>
      </w:r>
    </w:p>
    <w:p>
      <w:pPr>
        <w:spacing w:line="560" w:lineRule="exact"/>
        <w:ind w:firstLine="640"/>
        <w:rPr>
          <w:rFonts w:ascii="仿宋_GB2312" w:hAnsi="CESI黑体-GB2312" w:eastAsia="仿宋_GB2312" w:cs="CESI黑体-GB2312"/>
          <w:sz w:val="32"/>
          <w:szCs w:val="32"/>
        </w:rPr>
      </w:pPr>
      <w:r>
        <w:rPr>
          <w:rFonts w:hint="eastAsia" w:ascii="仿宋_GB2312" w:hAnsi="CESI黑体-GB2312" w:eastAsia="仿宋_GB2312" w:cs="CESI黑体-GB2312"/>
          <w:sz w:val="32"/>
          <w:szCs w:val="32"/>
        </w:rPr>
        <w:t>从进度看，丽水实施进度最快，接近100%；</w:t>
      </w:r>
      <w:r>
        <w:rPr>
          <w:rFonts w:hint="eastAsia" w:ascii="仿宋_GB2312" w:hAnsi="CESI黑体-GB2312" w:eastAsia="仿宋_GB2312" w:cs="CESI黑体-GB2312"/>
          <w:b/>
          <w:bCs/>
          <w:sz w:val="32"/>
          <w:szCs w:val="32"/>
        </w:rPr>
        <w:t>舟山</w:t>
      </w:r>
      <w:r>
        <w:rPr>
          <w:rFonts w:hint="eastAsia" w:ascii="仿宋_GB2312" w:hAnsi="CESI黑体-GB2312" w:eastAsia="仿宋_GB2312" w:cs="CESI黑体-GB2312"/>
          <w:sz w:val="32"/>
          <w:szCs w:val="32"/>
        </w:rPr>
        <w:t>滞后明显，台州、温州涉及项目较多，进度略低于全省平均，对全省进度后续赶超提升影响大。</w:t>
      </w:r>
    </w:p>
    <w:p>
      <w:pPr>
        <w:jc w:val="center"/>
        <w:rPr>
          <w:rFonts w:ascii="仿宋_GB2312" w:hAnsi="CESI黑体-GB2312" w:eastAsia="仿宋_GB2312" w:cs="CESI黑体-GB2312"/>
          <w:sz w:val="32"/>
          <w:szCs w:val="32"/>
        </w:rPr>
      </w:pPr>
      <w:r>
        <w:drawing>
          <wp:inline distT="0" distB="0" distL="0" distR="0">
            <wp:extent cx="5652770" cy="2614295"/>
            <wp:effectExtent l="0" t="0" r="5080" b="14605"/>
            <wp:docPr id="5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>
      <w:pPr>
        <w:spacing w:line="560" w:lineRule="exact"/>
        <w:ind w:firstLine="640"/>
        <w:rPr>
          <w:rFonts w:ascii="仿宋_GB2312" w:hAnsi="CESI黑体-GB2312" w:eastAsia="仿宋_GB2312" w:cs="CESI黑体-GB2312"/>
          <w:sz w:val="32"/>
          <w:szCs w:val="32"/>
        </w:rPr>
      </w:pPr>
      <w:r>
        <w:rPr>
          <w:rFonts w:hint="eastAsia" w:ascii="仿宋_GB2312" w:hAnsi="CESI黑体-GB2312" w:eastAsia="仿宋_GB2312" w:cs="CESI黑体-GB2312"/>
          <w:sz w:val="32"/>
          <w:szCs w:val="32"/>
        </w:rPr>
        <w:t>从完成率看，丽水、湖州、宁波完成率较高，均已超过</w:t>
      </w:r>
      <w:r>
        <w:rPr>
          <w:rFonts w:ascii="仿宋_GB2312" w:hAnsi="CESI黑体-GB2312" w:eastAsia="仿宋_GB2312" w:cs="CESI黑体-GB2312"/>
          <w:sz w:val="32"/>
          <w:szCs w:val="32"/>
        </w:rPr>
        <w:t>100%</w:t>
      </w:r>
      <w:r>
        <w:rPr>
          <w:rFonts w:hint="eastAsia" w:ascii="仿宋_GB2312" w:hAnsi="CESI黑体-GB2312" w:eastAsia="仿宋_GB2312" w:cs="CESI黑体-GB2312"/>
          <w:sz w:val="32"/>
          <w:szCs w:val="32"/>
        </w:rPr>
        <w:t>，</w:t>
      </w:r>
      <w:r>
        <w:rPr>
          <w:rFonts w:hint="eastAsia" w:ascii="仿宋_GB2312" w:hAnsi="CESI黑体-GB2312" w:eastAsia="仿宋_GB2312" w:cs="CESI黑体-GB2312"/>
          <w:b/>
          <w:bCs/>
          <w:sz w:val="32"/>
          <w:szCs w:val="32"/>
        </w:rPr>
        <w:t>舟山、温州、杭州</w:t>
      </w:r>
      <w:r>
        <w:rPr>
          <w:rFonts w:hint="eastAsia" w:ascii="仿宋_GB2312" w:hAnsi="CESI黑体-GB2312" w:eastAsia="仿宋_GB2312" w:cs="CESI黑体-GB2312"/>
          <w:sz w:val="32"/>
          <w:szCs w:val="32"/>
        </w:rPr>
        <w:t>完成率相对较低。</w:t>
      </w:r>
    </w:p>
    <w:p>
      <w:pPr>
        <w:jc w:val="center"/>
        <w:rPr>
          <w:rFonts w:ascii="仿宋_GB2312" w:hAnsi="CESI黑体-GB2312" w:eastAsia="仿宋_GB2312" w:cs="CESI黑体-GB2312"/>
          <w:sz w:val="32"/>
          <w:szCs w:val="32"/>
        </w:rPr>
      </w:pPr>
      <w:r>
        <w:drawing>
          <wp:inline distT="0" distB="0" distL="0" distR="0">
            <wp:extent cx="5652770" cy="2292985"/>
            <wp:effectExtent l="0" t="0" r="5080" b="12065"/>
            <wp:docPr id="7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7907655</wp:posOffset>
                </wp:positionH>
                <wp:positionV relativeFrom="paragraph">
                  <wp:posOffset>-3812540</wp:posOffset>
                </wp:positionV>
                <wp:extent cx="1369060" cy="260350"/>
                <wp:effectExtent l="0" t="0" r="0" b="0"/>
                <wp:wrapNone/>
                <wp:docPr id="6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369040" cy="26032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  <w:ind w:firstLine="400"/>
                            </w:pPr>
                            <w:r>
                              <w:rPr>
                                <w:rFonts w:hint="eastAsia" w:ascii="Times New Roman" w:cs="Times New Roman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  <w:t>总体完成率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  <w:t>82.02%</w:t>
                            </w:r>
                          </w:p>
                        </w:txbxContent>
                      </wps:txbx>
                      <wps:bodyPr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622.65pt;margin-top:-300.2pt;height:20.5pt;width:107.8pt;z-index:251659264;mso-width-relative:page;mso-height-relative:page;" filled="f" stroked="f" coordsize="21600,21600" o:gfxdata="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BYAAABkcnMvUEsB&#10;AhQAFAAAAAgAh07iQNgNwwXaAAAADwEAAA8AAAAAAAAAAQAgAAAAOAAAAGRycy9kb3ducmV2Lnht&#10;bFBLAQIUABQAAAAIAIdO4kBd2lCyqAEAACQDAAAOAAAAAAAAAAEAIAAAAD8BAABkcnMvZTJvRG9j&#10;LnhtbFBLBQYAAAAABgAGAFkBAABZ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7"/>
                        <w:spacing w:before="0" w:beforeAutospacing="0" w:after="0" w:afterAutospacing="0"/>
                        <w:ind w:firstLine="400"/>
                      </w:pPr>
                      <w:r>
                        <w:rPr>
                          <w:rFonts w:hint="eastAsia" w:ascii="Times New Roman" w:cs="Times New Roman"/>
                          <w:b/>
                          <w:bCs/>
                          <w:color w:val="ED7D31" w:themeColor="accent2"/>
                          <w:sz w:val="20"/>
                          <w:szCs w:val="20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  <w:t>总体完成率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ED7D31" w:themeColor="accent2"/>
                          <w:sz w:val="20"/>
                          <w:szCs w:val="20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  <w:t>82.02%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60" w:lineRule="exact"/>
        <w:ind w:firstLine="640"/>
        <w:rPr>
          <w:rFonts w:ascii="CESI黑体-GB2312" w:hAnsi="CESI黑体-GB2312" w:eastAsia="CESI黑体-GB2312" w:cs="CESI黑体-GB2312"/>
          <w:sz w:val="32"/>
          <w:szCs w:val="32"/>
        </w:rPr>
      </w:pPr>
      <w:r>
        <w:rPr>
          <w:rFonts w:hint="eastAsia" w:ascii="CESI黑体-GB2312" w:hAnsi="CESI黑体-GB2312" w:eastAsia="CESI黑体-GB2312" w:cs="CESI黑体-GB2312"/>
          <w:sz w:val="32"/>
          <w:szCs w:val="32"/>
        </w:rPr>
        <w:t>二、分项进展情况</w:t>
      </w:r>
    </w:p>
    <w:p>
      <w:pPr>
        <w:pStyle w:val="6"/>
        <w:spacing w:line="560" w:lineRule="exact"/>
        <w:ind w:left="210" w:leftChars="100" w:firstLine="642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sz w:val="32"/>
          <w:szCs w:val="32"/>
        </w:rPr>
        <w:t>1．</w:t>
      </w:r>
      <w:r>
        <w:rPr>
          <w:rFonts w:ascii="Times New Roman" w:hAnsi="Times New Roman" w:eastAsia="仿宋_GB2312" w:cs="Times New Roman"/>
          <w:b/>
          <w:sz w:val="32"/>
          <w:szCs w:val="32"/>
        </w:rPr>
        <w:t>提标加固海塘</w:t>
      </w:r>
      <w:r>
        <w:rPr>
          <w:rFonts w:hint="eastAsia" w:ascii="Times New Roman" w:hAnsi="Times New Roman" w:eastAsia="仿宋_GB2312" w:cs="Times New Roman"/>
          <w:b/>
          <w:sz w:val="32"/>
          <w:szCs w:val="32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截至</w:t>
      </w:r>
      <w:r>
        <w:rPr>
          <w:rFonts w:ascii="Times New Roman" w:hAnsi="Times New Roman" w:eastAsia="仿宋_GB2312" w:cs="Times New Roman"/>
          <w:sz w:val="32"/>
          <w:szCs w:val="32"/>
        </w:rPr>
        <w:t>7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月</w:t>
      </w:r>
      <w:r>
        <w:rPr>
          <w:rFonts w:ascii="Times New Roman" w:hAnsi="Times New Roman" w:eastAsia="仿宋_GB2312" w:cs="Times New Roman"/>
          <w:sz w:val="32"/>
          <w:szCs w:val="32"/>
        </w:rPr>
        <w:t>31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日，入库项目</w:t>
      </w:r>
      <w:r>
        <w:rPr>
          <w:rFonts w:ascii="Times New Roman" w:hAnsi="Times New Roman" w:eastAsia="仿宋_GB2312" w:cs="Times New Roman"/>
          <w:sz w:val="32"/>
          <w:szCs w:val="32"/>
        </w:rPr>
        <w:t>56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个、</w:t>
      </w:r>
      <w:r>
        <w:rPr>
          <w:rFonts w:ascii="Times New Roman" w:hAnsi="Times New Roman" w:eastAsia="仿宋_GB2312" w:cs="Times New Roman"/>
          <w:sz w:val="32"/>
          <w:szCs w:val="32"/>
        </w:rPr>
        <w:t>268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公里，项目平均进度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72.18%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，已开工项目</w:t>
      </w:r>
      <w:r>
        <w:rPr>
          <w:rFonts w:ascii="Times New Roman" w:hAnsi="Times New Roman" w:eastAsia="仿宋_GB2312" w:cs="Times New Roman"/>
          <w:sz w:val="32"/>
          <w:szCs w:val="32"/>
        </w:rPr>
        <w:t>23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个、开工长度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105.67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公里，完成率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44.03%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</w:p>
    <w:p>
      <w:pPr>
        <w:pStyle w:val="6"/>
        <w:spacing w:line="560" w:lineRule="exact"/>
        <w:ind w:left="210" w:leftChars="100"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宁波、台州进度相对较快，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杭州、绍兴、嘉兴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相对较慢，根据进度规则判断，所辖区域项目基本处于可行性研究批复阶段。</w:t>
      </w:r>
    </w:p>
    <w:p>
      <w:pPr>
        <w:jc w:val="center"/>
      </w:pPr>
      <w:r>
        <w:drawing>
          <wp:inline distT="0" distB="0" distL="0" distR="0">
            <wp:extent cx="5631815" cy="2072640"/>
            <wp:effectExtent l="0" t="0" r="6985" b="3810"/>
            <wp:docPr id="13" name="图表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625465" cy="2072640"/>
            <wp:effectExtent l="0" t="0" r="13335" b="3810"/>
            <wp:docPr id="14" name="图表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>
      <w:pPr>
        <w:pStyle w:val="6"/>
        <w:spacing w:line="560" w:lineRule="exact"/>
        <w:ind w:left="420" w:firstLine="642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sz w:val="32"/>
          <w:szCs w:val="32"/>
        </w:rPr>
        <w:t>2.</w:t>
      </w:r>
      <w:r>
        <w:rPr>
          <w:rFonts w:ascii="Times New Roman" w:hAnsi="Times New Roman" w:eastAsia="仿宋_GB2312" w:cs="Times New Roman"/>
          <w:b/>
          <w:sz w:val="32"/>
          <w:szCs w:val="32"/>
        </w:rPr>
        <w:t>水库</w:t>
      </w:r>
      <w:r>
        <w:rPr>
          <w:rFonts w:hint="eastAsia" w:ascii="Times New Roman" w:hAnsi="Times New Roman" w:eastAsia="仿宋_GB2312" w:cs="Times New Roman"/>
          <w:b/>
          <w:sz w:val="32"/>
          <w:szCs w:val="32"/>
        </w:rPr>
        <w:t>除险</w:t>
      </w:r>
      <w:r>
        <w:rPr>
          <w:rFonts w:ascii="Times New Roman" w:hAnsi="Times New Roman" w:eastAsia="仿宋_GB2312" w:cs="Times New Roman"/>
          <w:b/>
          <w:sz w:val="32"/>
          <w:szCs w:val="32"/>
        </w:rPr>
        <w:t>加固</w:t>
      </w:r>
      <w:r>
        <w:rPr>
          <w:rFonts w:hint="eastAsia" w:ascii="Times New Roman" w:hAnsi="Times New Roman" w:eastAsia="仿宋_GB2312" w:cs="Times New Roman"/>
          <w:b/>
          <w:sz w:val="32"/>
          <w:szCs w:val="32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截至</w:t>
      </w:r>
      <w:r>
        <w:rPr>
          <w:rFonts w:ascii="Times New Roman" w:hAnsi="Times New Roman" w:eastAsia="仿宋_GB2312" w:cs="Times New Roman"/>
          <w:sz w:val="32"/>
          <w:szCs w:val="32"/>
        </w:rPr>
        <w:t>7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月</w:t>
      </w:r>
      <w:r>
        <w:rPr>
          <w:rFonts w:ascii="Times New Roman" w:hAnsi="Times New Roman" w:eastAsia="仿宋_GB2312" w:cs="Times New Roman"/>
          <w:sz w:val="32"/>
          <w:szCs w:val="32"/>
        </w:rPr>
        <w:t>31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日，入库项目</w:t>
      </w:r>
      <w:r>
        <w:rPr>
          <w:rFonts w:ascii="Times New Roman" w:hAnsi="Times New Roman" w:eastAsia="仿宋_GB2312" w:cs="Times New Roman"/>
          <w:sz w:val="32"/>
          <w:szCs w:val="32"/>
        </w:rPr>
        <w:t>211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座，项目平均进度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95.47%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，已完工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126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座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、项目完成率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63%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。宁波、湖州进度最快，达到</w:t>
      </w:r>
      <w:r>
        <w:rPr>
          <w:rFonts w:ascii="Times New Roman" w:hAnsi="Times New Roman" w:eastAsia="仿宋_GB2312" w:cs="Times New Roman"/>
          <w:sz w:val="32"/>
          <w:szCs w:val="32"/>
        </w:rPr>
        <w:t>100%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。宁波已超额完成年度任务，完成率达</w:t>
      </w:r>
      <w:r>
        <w:rPr>
          <w:rFonts w:ascii="Times New Roman" w:hAnsi="Times New Roman" w:eastAsia="仿宋_GB2312" w:cs="Times New Roman"/>
          <w:sz w:val="32"/>
          <w:szCs w:val="32"/>
        </w:rPr>
        <w:t>116.67%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；杭州、湖州、舟山、丽水已完成年度任务，完成率</w:t>
      </w:r>
      <w:r>
        <w:rPr>
          <w:rFonts w:ascii="Times New Roman" w:hAnsi="Times New Roman" w:eastAsia="仿宋_GB2312" w:cs="Times New Roman"/>
          <w:sz w:val="32"/>
          <w:szCs w:val="32"/>
        </w:rPr>
        <w:t>100%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；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台州（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43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座）、温州、绍兴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完成率相对较低。</w:t>
      </w:r>
    </w:p>
    <w:p>
      <w:pPr>
        <w:pStyle w:val="6"/>
        <w:spacing w:line="560" w:lineRule="exact"/>
        <w:ind w:left="420"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pStyle w:val="6"/>
        <w:spacing w:line="560" w:lineRule="exact"/>
        <w:ind w:left="0" w:leftChars="0"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jc w:val="center"/>
      </w:pPr>
      <w:r>
        <w:drawing>
          <wp:inline distT="0" distB="0" distL="0" distR="0">
            <wp:extent cx="5678170" cy="2575560"/>
            <wp:effectExtent l="0" t="0" r="17780" b="15240"/>
            <wp:docPr id="15" name="图表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685155" cy="2391410"/>
            <wp:effectExtent l="0" t="0" r="10795" b="8890"/>
            <wp:docPr id="16" name="图表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>
      <w:pPr>
        <w:pStyle w:val="6"/>
        <w:spacing w:line="560" w:lineRule="exact"/>
        <w:ind w:left="420" w:firstLine="642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3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.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 xml:space="preserve"> 病险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山塘整治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截至</w:t>
      </w:r>
      <w:r>
        <w:rPr>
          <w:rFonts w:ascii="Times New Roman" w:hAnsi="Times New Roman" w:eastAsia="仿宋_GB2312" w:cs="Times New Roman"/>
          <w:sz w:val="32"/>
          <w:szCs w:val="32"/>
        </w:rPr>
        <w:t>7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月</w:t>
      </w:r>
      <w:r>
        <w:rPr>
          <w:rFonts w:ascii="Times New Roman" w:hAnsi="Times New Roman" w:eastAsia="仿宋_GB2312" w:cs="Times New Roman"/>
          <w:sz w:val="32"/>
          <w:szCs w:val="32"/>
        </w:rPr>
        <w:t>31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日，入库项目</w:t>
      </w:r>
      <w:r>
        <w:rPr>
          <w:rFonts w:ascii="Times New Roman" w:hAnsi="Times New Roman" w:eastAsia="仿宋_GB2312" w:cs="Times New Roman"/>
          <w:sz w:val="32"/>
          <w:szCs w:val="32"/>
        </w:rPr>
        <w:t>466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座，项目平均进度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96.22%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，已完工山塘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269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座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、完成率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59.78%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。湖州实施进度最快，达到</w:t>
      </w:r>
      <w:r>
        <w:rPr>
          <w:rFonts w:ascii="Times New Roman" w:hAnsi="Times New Roman" w:eastAsia="仿宋_GB2312" w:cs="Times New Roman"/>
          <w:sz w:val="32"/>
          <w:szCs w:val="32"/>
        </w:rPr>
        <w:t>100%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，台州、舟山相对滞后。湖州已超额完成年度任务，完成率达</w:t>
      </w:r>
      <w:r>
        <w:rPr>
          <w:rFonts w:ascii="Times New Roman" w:hAnsi="Times New Roman" w:eastAsia="仿宋_GB2312" w:cs="Times New Roman"/>
          <w:sz w:val="32"/>
          <w:szCs w:val="32"/>
        </w:rPr>
        <w:t>120%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；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绍兴（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63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座）、舟山、台州（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48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座）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完成率较低。</w:t>
      </w:r>
    </w:p>
    <w:p>
      <w:pPr>
        <w:pStyle w:val="6"/>
        <w:spacing w:line="560" w:lineRule="exact"/>
        <w:ind w:left="420"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pStyle w:val="6"/>
        <w:spacing w:line="560" w:lineRule="exact"/>
        <w:ind w:left="0" w:leftChars="0"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jc w:val="center"/>
      </w:pPr>
      <w:r>
        <w:drawing>
          <wp:inline distT="0" distB="0" distL="0" distR="0">
            <wp:extent cx="5671820" cy="2575560"/>
            <wp:effectExtent l="0" t="0" r="5080" b="15240"/>
            <wp:docPr id="17" name="图表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678170" cy="2346960"/>
            <wp:effectExtent l="0" t="0" r="17780" b="15240"/>
            <wp:docPr id="18" name="图表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>
      <w:pPr>
        <w:pStyle w:val="6"/>
        <w:spacing w:line="560" w:lineRule="exact"/>
        <w:ind w:left="99" w:leftChars="47" w:firstLine="642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4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.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提升灌溉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设施。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截至</w:t>
      </w:r>
      <w:r>
        <w:rPr>
          <w:rFonts w:ascii="Times New Roman" w:hAnsi="Times New Roman" w:eastAsia="仿宋_GB2312" w:cs="Times New Roman"/>
          <w:sz w:val="32"/>
          <w:szCs w:val="32"/>
        </w:rPr>
        <w:t>7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月</w:t>
      </w:r>
      <w:r>
        <w:rPr>
          <w:rFonts w:ascii="Times New Roman" w:hAnsi="Times New Roman" w:eastAsia="仿宋_GB2312" w:cs="Times New Roman"/>
          <w:sz w:val="32"/>
          <w:szCs w:val="32"/>
        </w:rPr>
        <w:t>31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日，入库项目</w:t>
      </w:r>
      <w:r>
        <w:rPr>
          <w:rFonts w:ascii="Times New Roman" w:hAnsi="Times New Roman" w:eastAsia="仿宋_GB2312" w:cs="Times New Roman"/>
          <w:sz w:val="32"/>
          <w:szCs w:val="32"/>
        </w:rPr>
        <w:t>1689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座，项目平均进度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99.99%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，已完工灌溉设施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1688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座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、完成率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112.53%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。全省</w:t>
      </w:r>
      <w:r>
        <w:rPr>
          <w:rFonts w:ascii="Times New Roman" w:hAnsi="Times New Roman" w:eastAsia="仿宋_GB2312" w:cs="Times New Roman"/>
          <w:sz w:val="32"/>
          <w:szCs w:val="32"/>
        </w:rPr>
        <w:t>11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个市推进态势良好，系统录入项目仅剩湖州</w:t>
      </w:r>
      <w:r>
        <w:rPr>
          <w:rFonts w:ascii="Times New Roman" w:hAnsi="Times New Roman" w:eastAsia="仿宋_GB2312" w:cs="Times New Roman"/>
          <w:sz w:val="32"/>
          <w:szCs w:val="32"/>
        </w:rPr>
        <w:t>1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座未完工（安吉县垅坝液压翻版坝拆除重建工程，当前进度</w:t>
      </w:r>
      <w:r>
        <w:rPr>
          <w:rFonts w:ascii="Times New Roman" w:hAnsi="Times New Roman" w:eastAsia="仿宋_GB2312" w:cs="Times New Roman"/>
          <w:sz w:val="32"/>
          <w:szCs w:val="32"/>
        </w:rPr>
        <w:t>90%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）。</w:t>
      </w:r>
    </w:p>
    <w:p>
      <w:pPr>
        <w:pStyle w:val="6"/>
        <w:spacing w:line="560" w:lineRule="exact"/>
        <w:ind w:left="99" w:leftChars="47"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pStyle w:val="6"/>
        <w:spacing w:line="560" w:lineRule="exact"/>
        <w:ind w:left="0" w:leftChars="0" w:firstLine="640" w:firstLineChars="200"/>
        <w:rPr>
          <w:rFonts w:ascii="Times New Roman" w:hAnsi="Times New Roman" w:eastAsia="仿宋_GB2312" w:cs="Times New Roman"/>
          <w:sz w:val="32"/>
          <w:szCs w:val="32"/>
          <w:lang w:bidi="ar"/>
        </w:rPr>
      </w:pPr>
    </w:p>
    <w:p>
      <w:pPr>
        <w:jc w:val="center"/>
      </w:pPr>
      <w:r>
        <w:drawing>
          <wp:inline distT="0" distB="0" distL="0" distR="0">
            <wp:extent cx="5652770" cy="2531110"/>
            <wp:effectExtent l="0" t="0" r="5080" b="2540"/>
            <wp:docPr id="19" name="图表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_GB2312"/>
          <w:sz w:val="32"/>
          <w:szCs w:val="32"/>
        </w:rPr>
      </w:pPr>
      <w:r>
        <w:drawing>
          <wp:inline distT="0" distB="0" distL="0" distR="0">
            <wp:extent cx="5652770" cy="2322830"/>
            <wp:effectExtent l="0" t="0" r="5080" b="1270"/>
            <wp:docPr id="20" name="图表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rFonts w:ascii="Times New Roman" w:hAnsi="Times New Roman" w:eastAsia="仿宋_GB2312"/>
          <w:sz w:val="32"/>
          <w:szCs w:val="32"/>
        </w:rPr>
        <w:t xml:space="preserve"> </w:t>
      </w:r>
    </w:p>
    <w:p>
      <w:pPr>
        <w:pStyle w:val="6"/>
        <w:spacing w:line="560" w:lineRule="exact"/>
        <w:ind w:left="0" w:leftChars="0"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5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. 改造供水管网。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截至</w:t>
      </w:r>
      <w:r>
        <w:rPr>
          <w:rFonts w:ascii="Times New Roman" w:hAnsi="Times New Roman" w:eastAsia="仿宋_GB2312" w:cs="Times New Roman"/>
          <w:sz w:val="32"/>
          <w:szCs w:val="32"/>
        </w:rPr>
        <w:t>7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月</w:t>
      </w:r>
      <w:r>
        <w:rPr>
          <w:rFonts w:ascii="Times New Roman" w:hAnsi="Times New Roman" w:eastAsia="仿宋_GB2312" w:cs="Times New Roman"/>
          <w:sz w:val="32"/>
          <w:szCs w:val="32"/>
        </w:rPr>
        <w:t>31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日，入库项目</w:t>
      </w:r>
      <w:r>
        <w:rPr>
          <w:rFonts w:ascii="Times New Roman" w:hAnsi="Times New Roman" w:eastAsia="仿宋_GB2312" w:cs="Times New Roman"/>
          <w:sz w:val="32"/>
          <w:szCs w:val="32"/>
        </w:rPr>
        <w:t>310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个、</w:t>
      </w:r>
      <w:r>
        <w:rPr>
          <w:rFonts w:ascii="Times New Roman" w:hAnsi="Times New Roman" w:eastAsia="仿宋_GB2312" w:cs="Times New Roman"/>
          <w:sz w:val="32"/>
          <w:szCs w:val="32"/>
        </w:rPr>
        <w:t>3570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公里，项目平均进度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99.74%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，已完工长度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3531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公里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，完成率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126.09%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。总体推进态势良好，杭州、宁波、湖州等</w:t>
      </w:r>
      <w:r>
        <w:rPr>
          <w:rFonts w:ascii="Times New Roman" w:hAnsi="Times New Roman" w:eastAsia="仿宋_GB2312" w:cs="Times New Roman"/>
          <w:sz w:val="32"/>
          <w:szCs w:val="32"/>
        </w:rPr>
        <w:t>7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个市进度</w:t>
      </w:r>
      <w:r>
        <w:rPr>
          <w:rFonts w:ascii="Times New Roman" w:hAnsi="Times New Roman" w:eastAsia="仿宋_GB2312" w:cs="Times New Roman"/>
          <w:sz w:val="32"/>
          <w:szCs w:val="32"/>
        </w:rPr>
        <w:t>100%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。绍兴、衢州、台州、丽水超额完成率高（</w:t>
      </w:r>
      <w:r>
        <w:rPr>
          <w:rFonts w:ascii="Times New Roman" w:hAnsi="Times New Roman" w:eastAsia="仿宋_GB2312" w:cs="Times New Roman"/>
          <w:sz w:val="32"/>
          <w:szCs w:val="32"/>
        </w:rPr>
        <w:t>130%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以上）。</w:t>
      </w:r>
    </w:p>
    <w:p>
      <w:pPr>
        <w:pStyle w:val="6"/>
        <w:spacing w:line="560" w:lineRule="exact"/>
        <w:ind w:left="0" w:leftChars="0" w:firstLine="640" w:firstLineChars="200"/>
        <w:rPr>
          <w:rFonts w:ascii="Times New Roman" w:hAnsi="Times New Roman" w:eastAsia="仿宋_GB2312" w:cs="Times New Roman"/>
          <w:sz w:val="32"/>
          <w:szCs w:val="32"/>
          <w:lang w:bidi="ar"/>
        </w:rPr>
      </w:pPr>
    </w:p>
    <w:p>
      <w:pPr>
        <w:jc w:val="center"/>
      </w:pPr>
      <w:r>
        <w:drawing>
          <wp:inline distT="0" distB="0" distL="0" distR="0">
            <wp:extent cx="5652770" cy="2635885"/>
            <wp:effectExtent l="0" t="0" r="5080" b="12065"/>
            <wp:docPr id="21" name="图表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_GB2312"/>
          <w:sz w:val="32"/>
          <w:szCs w:val="32"/>
        </w:rPr>
      </w:pPr>
      <w:r>
        <w:drawing>
          <wp:inline distT="0" distB="0" distL="0" distR="0">
            <wp:extent cx="5652770" cy="2493645"/>
            <wp:effectExtent l="0" t="0" r="5080" b="1905"/>
            <wp:docPr id="23" name="图表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>
      <w:pPr>
        <w:pStyle w:val="3"/>
        <w:spacing w:line="560" w:lineRule="exact"/>
        <w:ind w:firstLine="643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/>
          <w:b/>
          <w:bCs/>
          <w:sz w:val="32"/>
          <w:szCs w:val="32"/>
        </w:rPr>
        <w:t>6.</w:t>
      </w:r>
      <w:r>
        <w:rPr>
          <w:rFonts w:hint="eastAsia" w:ascii="Times New Roman" w:hAnsi="Times New Roman" w:eastAsia="仿宋_GB2312"/>
          <w:b/>
          <w:bCs/>
          <w:sz w:val="32"/>
          <w:szCs w:val="32"/>
        </w:rPr>
        <w:t xml:space="preserve"> </w:t>
      </w:r>
      <w:r>
        <w:rPr>
          <w:rFonts w:ascii="Times New Roman" w:hAnsi="Times New Roman" w:eastAsia="仿宋_GB2312"/>
          <w:b/>
          <w:bCs/>
          <w:sz w:val="32"/>
          <w:szCs w:val="32"/>
        </w:rPr>
        <w:t>中小河流治理</w:t>
      </w:r>
      <w:r>
        <w:rPr>
          <w:rFonts w:hint="eastAsia" w:ascii="Times New Roman" w:hAnsi="Times New Roman" w:eastAsia="仿宋_GB2312"/>
          <w:b/>
          <w:bCs/>
          <w:sz w:val="32"/>
          <w:szCs w:val="32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截至</w:t>
      </w:r>
      <w:r>
        <w:rPr>
          <w:rFonts w:ascii="Times New Roman" w:hAnsi="Times New Roman" w:eastAsia="仿宋_GB2312" w:cs="Times New Roman"/>
          <w:sz w:val="32"/>
          <w:szCs w:val="32"/>
        </w:rPr>
        <w:t>7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月</w:t>
      </w:r>
      <w:r>
        <w:rPr>
          <w:rFonts w:ascii="Times New Roman" w:hAnsi="Times New Roman" w:eastAsia="仿宋_GB2312" w:cs="Times New Roman"/>
          <w:sz w:val="32"/>
          <w:szCs w:val="32"/>
        </w:rPr>
        <w:t>31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日，入库项目</w:t>
      </w:r>
      <w:r>
        <w:rPr>
          <w:rFonts w:ascii="Times New Roman" w:hAnsi="Times New Roman" w:eastAsia="仿宋_GB2312" w:cs="Times New Roman"/>
          <w:sz w:val="32"/>
          <w:szCs w:val="32"/>
        </w:rPr>
        <w:t>119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个、</w:t>
      </w:r>
      <w:r>
        <w:rPr>
          <w:rFonts w:ascii="Times New Roman" w:hAnsi="Times New Roman" w:eastAsia="仿宋_GB2312" w:cs="Times New Roman"/>
          <w:sz w:val="32"/>
          <w:szCs w:val="32"/>
        </w:rPr>
        <w:t>656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公里，项目平均进度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93.15%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，已完工长度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433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公里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、完成率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86.69%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。丽水进度最快，达到</w:t>
      </w:r>
      <w:r>
        <w:rPr>
          <w:rFonts w:ascii="Times New Roman" w:hAnsi="Times New Roman" w:eastAsia="仿宋_GB2312" w:cs="Times New Roman"/>
          <w:sz w:val="32"/>
          <w:szCs w:val="32"/>
        </w:rPr>
        <w:t>98%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舟山、杭州、湖州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完成率相对滞后。</w:t>
      </w:r>
    </w:p>
    <w:p>
      <w:pPr>
        <w:pStyle w:val="3"/>
        <w:spacing w:line="560" w:lineRule="exact"/>
        <w:ind w:firstLine="643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pStyle w:val="3"/>
        <w:spacing w:line="560" w:lineRule="exact"/>
        <w:ind w:firstLine="643"/>
        <w:rPr>
          <w:rFonts w:ascii="Times New Roman" w:hAnsi="Times New Roman" w:eastAsia="仿宋_GB2312"/>
          <w:sz w:val="32"/>
          <w:szCs w:val="32"/>
        </w:rPr>
      </w:pPr>
    </w:p>
    <w:p>
      <w:pPr>
        <w:jc w:val="center"/>
      </w:pPr>
      <w:r>
        <w:drawing>
          <wp:inline distT="0" distB="0" distL="0" distR="0">
            <wp:extent cx="5652770" cy="2720340"/>
            <wp:effectExtent l="0" t="0" r="5080" b="3810"/>
            <wp:docPr id="24" name="图表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_GB2312"/>
          <w:sz w:val="32"/>
          <w:szCs w:val="32"/>
        </w:rPr>
      </w:pPr>
      <w:r>
        <w:drawing>
          <wp:inline distT="0" distB="0" distL="0" distR="0">
            <wp:extent cx="5652770" cy="2328545"/>
            <wp:effectExtent l="0" t="0" r="5080" b="14605"/>
            <wp:docPr id="26" name="图表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CESI黑体-GB2312" w:hAnsi="CESI黑体-GB2312" w:eastAsia="CESI黑体-GB2312" w:cs="CESI黑体-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CESI黑体-GB2312" w:hAnsi="CESI黑体-GB2312" w:eastAsia="CESI黑体-GB2312" w:cs="CESI黑体-GB2312"/>
          <w:sz w:val="32"/>
          <w:szCs w:val="32"/>
        </w:rPr>
      </w:pPr>
      <w:bookmarkStart w:id="0" w:name="_GoBack"/>
      <w:bookmarkEnd w:id="0"/>
    </w:p>
    <w:sectPr>
      <w:pgSz w:w="11906" w:h="16838"/>
      <w:pgMar w:top="2154" w:right="1502" w:bottom="1984" w:left="1502" w:header="851" w:footer="992" w:gutter="0"/>
      <w:cols w:space="0" w:num="1"/>
      <w:docGrid w:type="lines"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方正仿宋简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书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ESI黑体-GB2312">
    <w:panose1 w:val="02000500000000000000"/>
    <w:charset w:val="86"/>
    <w:family w:val="auto"/>
    <w:pitch w:val="default"/>
    <w:sig w:usb0="800002BF" w:usb1="184F6CF8" w:usb2="00000012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等线">
    <w:altName w:val="汉仪仿宋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仿宋S">
    <w:panose1 w:val="00020600040101000101"/>
    <w:charset w:val="86"/>
    <w:family w:val="auto"/>
    <w:pitch w:val="default"/>
    <w:sig w:usb0="A00002BF" w:usb1="38CF7CFA" w:usb2="00000016" w:usb3="00000000" w:csb0="0004009F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true"/>
  <w:bordersDoNotSurroundHeader w:val="true"/>
  <w:bordersDoNotSurroundFooter w:val="true"/>
  <w:documentProtection w:enforcement="0"/>
  <w:defaultTabStop w:val="420"/>
  <w:drawingGridHorizontalSpacing w:val="105"/>
  <w:drawingGridVerticalSpacing w:val="317"/>
  <w:displayHorizontalDrawingGridEvery w:val="2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2A5"/>
    <w:rsid w:val="000242D1"/>
    <w:rsid w:val="000454CB"/>
    <w:rsid w:val="0004799C"/>
    <w:rsid w:val="00081644"/>
    <w:rsid w:val="000B0D84"/>
    <w:rsid w:val="000F7285"/>
    <w:rsid w:val="00171F0B"/>
    <w:rsid w:val="0018233B"/>
    <w:rsid w:val="00183762"/>
    <w:rsid w:val="001842A5"/>
    <w:rsid w:val="001923B8"/>
    <w:rsid w:val="001B5AE4"/>
    <w:rsid w:val="001F0137"/>
    <w:rsid w:val="00211F03"/>
    <w:rsid w:val="00226005"/>
    <w:rsid w:val="00234851"/>
    <w:rsid w:val="002447B9"/>
    <w:rsid w:val="00247582"/>
    <w:rsid w:val="00263831"/>
    <w:rsid w:val="0028445F"/>
    <w:rsid w:val="002A4E68"/>
    <w:rsid w:val="002C37AB"/>
    <w:rsid w:val="00324572"/>
    <w:rsid w:val="00341302"/>
    <w:rsid w:val="0037150C"/>
    <w:rsid w:val="0037334D"/>
    <w:rsid w:val="00394372"/>
    <w:rsid w:val="003B5FFA"/>
    <w:rsid w:val="003C2D96"/>
    <w:rsid w:val="003E3E11"/>
    <w:rsid w:val="003F1C6A"/>
    <w:rsid w:val="004230CD"/>
    <w:rsid w:val="00433B39"/>
    <w:rsid w:val="0044146C"/>
    <w:rsid w:val="00466BF7"/>
    <w:rsid w:val="00481174"/>
    <w:rsid w:val="004964A0"/>
    <w:rsid w:val="004B1D56"/>
    <w:rsid w:val="004B5B12"/>
    <w:rsid w:val="004B74B1"/>
    <w:rsid w:val="004B77F4"/>
    <w:rsid w:val="00506F21"/>
    <w:rsid w:val="00524237"/>
    <w:rsid w:val="005644AD"/>
    <w:rsid w:val="00580838"/>
    <w:rsid w:val="00592AFE"/>
    <w:rsid w:val="005968CD"/>
    <w:rsid w:val="005B7D22"/>
    <w:rsid w:val="00605AF2"/>
    <w:rsid w:val="006566AB"/>
    <w:rsid w:val="0066386F"/>
    <w:rsid w:val="0068093F"/>
    <w:rsid w:val="00687D89"/>
    <w:rsid w:val="006A5D4E"/>
    <w:rsid w:val="006C22BB"/>
    <w:rsid w:val="006E798F"/>
    <w:rsid w:val="006F7C14"/>
    <w:rsid w:val="00704F69"/>
    <w:rsid w:val="00723CE1"/>
    <w:rsid w:val="00726750"/>
    <w:rsid w:val="0074381A"/>
    <w:rsid w:val="00745FA3"/>
    <w:rsid w:val="00753774"/>
    <w:rsid w:val="0079715B"/>
    <w:rsid w:val="007B0169"/>
    <w:rsid w:val="007C4D26"/>
    <w:rsid w:val="007D6FFB"/>
    <w:rsid w:val="007E11DA"/>
    <w:rsid w:val="00821280"/>
    <w:rsid w:val="00844EE1"/>
    <w:rsid w:val="008557C2"/>
    <w:rsid w:val="00885F69"/>
    <w:rsid w:val="008D2272"/>
    <w:rsid w:val="008D2B37"/>
    <w:rsid w:val="008E64AE"/>
    <w:rsid w:val="008E7A9B"/>
    <w:rsid w:val="00916C91"/>
    <w:rsid w:val="00935166"/>
    <w:rsid w:val="009400D1"/>
    <w:rsid w:val="0097058B"/>
    <w:rsid w:val="009845E2"/>
    <w:rsid w:val="009B16EC"/>
    <w:rsid w:val="009D4052"/>
    <w:rsid w:val="009F2692"/>
    <w:rsid w:val="009F674F"/>
    <w:rsid w:val="00A02C7D"/>
    <w:rsid w:val="00A042C6"/>
    <w:rsid w:val="00A045AB"/>
    <w:rsid w:val="00A46A39"/>
    <w:rsid w:val="00A81583"/>
    <w:rsid w:val="00AB7CAB"/>
    <w:rsid w:val="00AF7CB5"/>
    <w:rsid w:val="00B46C46"/>
    <w:rsid w:val="00B4779A"/>
    <w:rsid w:val="00BA49BE"/>
    <w:rsid w:val="00BC3396"/>
    <w:rsid w:val="00C0638D"/>
    <w:rsid w:val="00C065E3"/>
    <w:rsid w:val="00C201A8"/>
    <w:rsid w:val="00C804E9"/>
    <w:rsid w:val="00C968E5"/>
    <w:rsid w:val="00CB7806"/>
    <w:rsid w:val="00CE10FB"/>
    <w:rsid w:val="00D007C9"/>
    <w:rsid w:val="00DA01CA"/>
    <w:rsid w:val="00DA4726"/>
    <w:rsid w:val="00DC7F30"/>
    <w:rsid w:val="00E145C7"/>
    <w:rsid w:val="00E41855"/>
    <w:rsid w:val="00E46A0C"/>
    <w:rsid w:val="00E54BCC"/>
    <w:rsid w:val="00E572C6"/>
    <w:rsid w:val="00E85BC3"/>
    <w:rsid w:val="00EA647B"/>
    <w:rsid w:val="00EC397E"/>
    <w:rsid w:val="00EE7658"/>
    <w:rsid w:val="00EF2F7C"/>
    <w:rsid w:val="00F053FB"/>
    <w:rsid w:val="00F171D0"/>
    <w:rsid w:val="00F92E40"/>
    <w:rsid w:val="00FF0E5F"/>
    <w:rsid w:val="00FF64CC"/>
    <w:rsid w:val="178FA03E"/>
    <w:rsid w:val="1CE6CC6F"/>
    <w:rsid w:val="1D2E18B0"/>
    <w:rsid w:val="1F7D652B"/>
    <w:rsid w:val="2FBF91D4"/>
    <w:rsid w:val="3BBEB9C4"/>
    <w:rsid w:val="3BBF6EF4"/>
    <w:rsid w:val="3BFDEAF1"/>
    <w:rsid w:val="3E6FCD28"/>
    <w:rsid w:val="3F4F19D1"/>
    <w:rsid w:val="4CFE221A"/>
    <w:rsid w:val="4DDD6DE9"/>
    <w:rsid w:val="4FFF14E8"/>
    <w:rsid w:val="55DB8DFC"/>
    <w:rsid w:val="5BCB789D"/>
    <w:rsid w:val="5BF7ABB8"/>
    <w:rsid w:val="5F8FEBF1"/>
    <w:rsid w:val="5FF71F40"/>
    <w:rsid w:val="63FFF1D5"/>
    <w:rsid w:val="67FE41B3"/>
    <w:rsid w:val="697FAA3A"/>
    <w:rsid w:val="6BFFD01B"/>
    <w:rsid w:val="6FFB4A0A"/>
    <w:rsid w:val="73BBF5DE"/>
    <w:rsid w:val="73F3124F"/>
    <w:rsid w:val="73FE333F"/>
    <w:rsid w:val="759F7A82"/>
    <w:rsid w:val="75F59731"/>
    <w:rsid w:val="77D79F8F"/>
    <w:rsid w:val="77E3C1A3"/>
    <w:rsid w:val="77FBC774"/>
    <w:rsid w:val="77FD05DB"/>
    <w:rsid w:val="7BFF4532"/>
    <w:rsid w:val="7CFFDC51"/>
    <w:rsid w:val="7D7F5987"/>
    <w:rsid w:val="7DF7F8BA"/>
    <w:rsid w:val="7DFF1BA5"/>
    <w:rsid w:val="7E76B3D2"/>
    <w:rsid w:val="7EDB18FC"/>
    <w:rsid w:val="7EDC43F3"/>
    <w:rsid w:val="7F14D6D8"/>
    <w:rsid w:val="7F4F806C"/>
    <w:rsid w:val="7FA201DA"/>
    <w:rsid w:val="7FE5F934"/>
    <w:rsid w:val="7FFAD25E"/>
    <w:rsid w:val="7FFD5D2B"/>
    <w:rsid w:val="9EFDE03F"/>
    <w:rsid w:val="9FDB93B7"/>
    <w:rsid w:val="A5FD6BB9"/>
    <w:rsid w:val="A76FEA95"/>
    <w:rsid w:val="B3DFA014"/>
    <w:rsid w:val="BAD76E00"/>
    <w:rsid w:val="BC7F6D6F"/>
    <w:rsid w:val="BCF64205"/>
    <w:rsid w:val="CDF7F680"/>
    <w:rsid w:val="CFFF38DE"/>
    <w:rsid w:val="D1FF2D51"/>
    <w:rsid w:val="D6BFDAA8"/>
    <w:rsid w:val="DFABB6AB"/>
    <w:rsid w:val="DFBF0848"/>
    <w:rsid w:val="DFBF165E"/>
    <w:rsid w:val="E3AB6BDD"/>
    <w:rsid w:val="E9FCFDCE"/>
    <w:rsid w:val="EAFD52BD"/>
    <w:rsid w:val="EFDD2AAC"/>
    <w:rsid w:val="EFED1804"/>
    <w:rsid w:val="F5D610A6"/>
    <w:rsid w:val="F5DFBE03"/>
    <w:rsid w:val="F62E9310"/>
    <w:rsid w:val="F7BB8739"/>
    <w:rsid w:val="F7EBE16E"/>
    <w:rsid w:val="F7EDCFC3"/>
    <w:rsid w:val="F9F7F783"/>
    <w:rsid w:val="FB5E1E83"/>
    <w:rsid w:val="FBBBE5DF"/>
    <w:rsid w:val="FBDB4071"/>
    <w:rsid w:val="FCFB4304"/>
    <w:rsid w:val="FCFDF3AC"/>
    <w:rsid w:val="FDFFF514"/>
    <w:rsid w:val="FEAB284B"/>
    <w:rsid w:val="FEBFCFFB"/>
    <w:rsid w:val="FFBEF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qFormat="1" w:uiPriority="99" w:semiHidden="0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1"/>
    <w:semiHidden/>
    <w:unhideWhenUsed/>
    <w:qFormat/>
    <w:uiPriority w:val="99"/>
    <w:pPr>
      <w:spacing w:after="120"/>
    </w:pPr>
  </w:style>
  <w:style w:type="paragraph" w:styleId="3">
    <w:name w:val="Balloon Text"/>
    <w:basedOn w:val="1"/>
    <w:link w:val="12"/>
    <w:unhideWhenUsed/>
    <w:qFormat/>
    <w:uiPriority w:val="0"/>
    <w:rPr>
      <w:sz w:val="18"/>
      <w:szCs w:val="18"/>
    </w:r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able of figures"/>
    <w:basedOn w:val="1"/>
    <w:next w:val="1"/>
    <w:unhideWhenUsed/>
    <w:qFormat/>
    <w:uiPriority w:val="99"/>
    <w:pPr>
      <w:ind w:left="200" w:leftChars="200" w:hanging="200" w:hangingChars="200"/>
    </w:pPr>
    <w:rPr>
      <w:rFonts w:ascii="Calibri" w:hAnsi="Calibri" w:eastAsia="宋体" w:cs="宋体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正文文本 字符"/>
    <w:basedOn w:val="9"/>
    <w:link w:val="2"/>
    <w:semiHidden/>
    <w:qFormat/>
    <w:uiPriority w:val="99"/>
  </w:style>
  <w:style w:type="character" w:customStyle="1" w:styleId="12">
    <w:name w:val="批注框文本 字符"/>
    <w:basedOn w:val="9"/>
    <w:link w:val="3"/>
    <w:qFormat/>
    <w:uiPriority w:val="0"/>
    <w:rPr>
      <w:sz w:val="18"/>
      <w:szCs w:val="18"/>
    </w:rPr>
  </w:style>
  <w:style w:type="character" w:customStyle="1" w:styleId="13">
    <w:name w:val="font01"/>
    <w:basedOn w:val="9"/>
    <w:qFormat/>
    <w:uiPriority w:val="0"/>
    <w:rPr>
      <w:rFonts w:ascii="方正书宋_GBK" w:hAnsi="方正书宋_GBK" w:eastAsia="方正书宋_GBK" w:cs="方正书宋_GBK"/>
      <w:color w:val="000000"/>
      <w:sz w:val="22"/>
      <w:szCs w:val="22"/>
      <w:u w:val="none"/>
    </w:rPr>
  </w:style>
  <w:style w:type="character" w:customStyle="1" w:styleId="14">
    <w:name w:val="font21"/>
    <w:basedOn w:val="9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5">
    <w:name w:val="页眉 字符"/>
    <w:basedOn w:val="9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脚 字符"/>
    <w:basedOn w:val="9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font11"/>
    <w:basedOn w:val="9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hart" Target="charts/chart4.xml"/><Relationship Id="rId8" Type="http://schemas.openxmlformats.org/officeDocument/2006/relationships/chart" Target="charts/chart3.xml"/><Relationship Id="rId7" Type="http://schemas.openxmlformats.org/officeDocument/2006/relationships/chart" Target="charts/chart2.xml"/><Relationship Id="rId6" Type="http://schemas.openxmlformats.org/officeDocument/2006/relationships/chart" Target="charts/chart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chart" Target="charts/chart16.xml"/><Relationship Id="rId20" Type="http://schemas.openxmlformats.org/officeDocument/2006/relationships/chart" Target="charts/chart15.xml"/><Relationship Id="rId2" Type="http://schemas.openxmlformats.org/officeDocument/2006/relationships/settings" Target="settings.xml"/><Relationship Id="rId19" Type="http://schemas.openxmlformats.org/officeDocument/2006/relationships/chart" Target="charts/chart14.xml"/><Relationship Id="rId18" Type="http://schemas.openxmlformats.org/officeDocument/2006/relationships/chart" Target="charts/chart13.xml"/><Relationship Id="rId17" Type="http://schemas.openxmlformats.org/officeDocument/2006/relationships/chart" Target="charts/chart12.xml"/><Relationship Id="rId16" Type="http://schemas.openxmlformats.org/officeDocument/2006/relationships/chart" Target="charts/chart11.xml"/><Relationship Id="rId15" Type="http://schemas.openxmlformats.org/officeDocument/2006/relationships/chart" Target="charts/chart10.xml"/><Relationship Id="rId14" Type="http://schemas.openxmlformats.org/officeDocument/2006/relationships/chart" Target="charts/chart9.xml"/><Relationship Id="rId13" Type="http://schemas.openxmlformats.org/officeDocument/2006/relationships/chart" Target="charts/chart8.xml"/><Relationship Id="rId12" Type="http://schemas.openxmlformats.org/officeDocument/2006/relationships/chart" Target="charts/chart7.xml"/><Relationship Id="rId11" Type="http://schemas.openxmlformats.org/officeDocument/2006/relationships/chart" Target="charts/chart6.xml"/><Relationship Id="rId10" Type="http://schemas.openxmlformats.org/officeDocument/2006/relationships/chart" Target="charts/chart5.xml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4" Type="http://schemas.microsoft.com/office/2011/relationships/chartColorStyle" Target="colors2.xml"/><Relationship Id="rId3" Type="http://schemas.microsoft.com/office/2011/relationships/chartStyle" Target="style2.xml"/><Relationship Id="rId2" Type="http://schemas.openxmlformats.org/officeDocument/2006/relationships/chartUserShapes" Target="../drawings/drawing9.xml"/><Relationship Id="rId1" Type="http://schemas.openxmlformats.org/officeDocument/2006/relationships/oleObject" Target="file:///C:\Users\afey2\Desktop\&#27665;&#29983;&#23454;&#20107;7&#26376;31&#26085;&#25968;&#25454;\&#24635;&#20307;&#36827;&#24230;&#32479;&#35745;&#65288;&#25130;&#33267;7&#26376;31&#26085;&#65289;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afey2\Desktop\&#27665;&#29983;&#23454;&#20107;7&#26376;31&#26085;&#25968;&#25454;\&#24635;&#20307;&#23436;&#25104;&#29575;&#32479;&#35745;&#65288;&#25130;&#33267;7&#26376;31&#26085;&#65289;.xlsx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5.xml"/><Relationship Id="rId1" Type="http://schemas.openxmlformats.org/officeDocument/2006/relationships/oleObject" Target="file:///C:\Users\afey2\Desktop\&#27665;&#29983;&#23454;&#20107;7&#26376;31&#26085;&#25968;&#25454;\&#24635;&#20307;&#36827;&#24230;&#32479;&#35745;&#65288;&#25130;&#33267;7&#26376;31&#26085;&#65289;.xlsx" TargetMode="Externa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oleObject" Target="file:///C:\Users\afey2\Desktop\&#27665;&#29983;&#23454;&#20107;7&#26376;31&#26085;&#25968;&#25454;\&#24635;&#20307;&#23436;&#25104;&#29575;&#32479;&#35745;&#65288;&#25130;&#33267;7&#26376;31&#26085;&#65289;.xlsx" TargetMode="Externa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1.xml"/><Relationship Id="rId1" Type="http://schemas.openxmlformats.org/officeDocument/2006/relationships/oleObject" Target="file:///C:\Users\afey2\Desktop\&#27665;&#29983;&#23454;&#20107;7&#26376;31&#26085;&#25968;&#25454;\&#24635;&#20307;&#36827;&#24230;&#32479;&#35745;&#65288;&#25130;&#33267;7&#26376;31&#26085;&#65289;.xlsx" TargetMode="Externa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2.xml"/><Relationship Id="rId1" Type="http://schemas.openxmlformats.org/officeDocument/2006/relationships/oleObject" Target="file:///C:\Users\afey2\Desktop\&#27665;&#29983;&#23454;&#20107;7&#26376;31&#26085;&#25968;&#25454;\&#24635;&#20307;&#23436;&#25104;&#29575;&#32479;&#35745;&#65288;&#25130;&#33267;7&#26376;31&#26085;&#65289;.xlsx" TargetMode="Externa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3.xml"/><Relationship Id="rId1" Type="http://schemas.openxmlformats.org/officeDocument/2006/relationships/oleObject" Target="file:///C:\Users\afey2\Desktop\&#27665;&#29983;&#23454;&#20107;7&#26376;31&#26085;&#25968;&#25454;\&#24635;&#20307;&#36827;&#24230;&#32479;&#35745;&#65288;&#25130;&#33267;7&#26376;31&#26085;&#65289;.xlsx" TargetMode="Externa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4.xml"/><Relationship Id="rId1" Type="http://schemas.openxmlformats.org/officeDocument/2006/relationships/oleObject" Target="file:///C:\Users\afey2\Desktop\&#27665;&#29983;&#23454;&#20107;7&#26376;31&#26085;&#25968;&#25454;\&#24635;&#20307;&#23436;&#25104;&#29575;&#32479;&#35745;&#65288;&#25130;&#33267;7&#26376;31&#26085;&#65289;.xlsx" TargetMode="External"/></Relationships>
</file>

<file path=word/charts/_rels/chart2.xml.rels><?xml version="1.0" encoding="UTF-8" standalone="yes"?>
<Relationships xmlns="http://schemas.openxmlformats.org/package/2006/relationships"><Relationship Id="rId4" Type="http://schemas.microsoft.com/office/2011/relationships/chartColorStyle" Target="colors1.xml"/><Relationship Id="rId3" Type="http://schemas.microsoft.com/office/2011/relationships/chartStyle" Target="style1.xml"/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fey2\Desktop\&#27665;&#29983;&#23454;&#20107;7&#26376;31&#26085;&#25968;&#25454;\&#24635;&#20307;&#23436;&#25104;&#29575;&#32479;&#35745;&#65288;&#25130;&#33267;7&#26376;31&#26085;&#65289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afey2\Desktop\&#27665;&#29983;&#23454;&#20107;7&#26376;31&#26085;&#25968;&#25454;\&#24635;&#20307;&#36827;&#24230;&#32479;&#35745;&#65288;&#25130;&#33267;7&#26376;31&#26085;&#65289;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afey2\Desktop\&#27665;&#29983;&#23454;&#20107;7&#26376;31&#26085;&#25968;&#25454;\&#24635;&#20307;&#23436;&#25104;&#29575;&#32479;&#35745;&#65288;&#25130;&#33267;7&#26376;31&#26085;&#65289;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fey2\Desktop\&#27665;&#29983;&#23454;&#20107;7&#26376;31&#26085;&#25968;&#25454;\&#24635;&#20307;&#36827;&#24230;&#32479;&#35745;&#65288;&#25130;&#33267;7&#26376;31&#26085;&#65289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6.xml"/><Relationship Id="rId1" Type="http://schemas.openxmlformats.org/officeDocument/2006/relationships/oleObject" Target="file:///C:\Users\afey2\Desktop\&#27665;&#29983;&#23454;&#20107;7&#26376;31&#26085;&#25968;&#25454;\&#24635;&#20307;&#23436;&#25104;&#29575;&#32479;&#35745;&#65288;&#25130;&#33267;7&#26376;31&#26085;&#65289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Users\afey2\Desktop\&#27665;&#29983;&#23454;&#20107;7&#26376;31&#26085;&#25968;&#25454;\&#24635;&#20307;&#36827;&#24230;&#32479;&#35745;&#65288;&#25130;&#33267;7&#26376;31&#26085;&#65289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C:\Users\afey2\Desktop\&#27665;&#29983;&#23454;&#20107;7&#26376;31&#26085;&#25968;&#25454;\&#24635;&#20307;&#23436;&#25104;&#29575;&#32479;&#35745;&#65288;&#25130;&#33267;7&#26376;31&#26085;&#65289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afey2\Desktop\&#27665;&#29983;&#23454;&#20107;7&#26376;31&#26085;&#25968;&#25454;\&#24635;&#20307;&#36827;&#24230;&#32479;&#35745;&#65288;&#25130;&#33267;7&#26376;31&#26085;&#652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true"/>
          <a:lstStyle/>
          <a:p>
            <a:pPr>
              <a:defRPr lang="zh-CN"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charset="0"/>
                <a:ea typeface="宋体" charset="-122"/>
                <a:cs typeface="Times New Roman" charset="0"/>
              </a:defRPr>
            </a:pPr>
            <a:r>
              <a:rPr lang="zh-CN" b="1"/>
              <a:t>水利民生实事分项</a:t>
            </a:r>
            <a:r>
              <a:rPr lang="zh-CN" altLang="en-US" b="1"/>
              <a:t>进度</a:t>
            </a:r>
            <a:r>
              <a:rPr lang="zh-CN" b="1"/>
              <a:t>（截至</a:t>
            </a:r>
            <a:r>
              <a:rPr lang="en-US" b="1"/>
              <a:t>7</a:t>
            </a:r>
            <a:r>
              <a:rPr lang="zh-CN" b="1"/>
              <a:t>月</a:t>
            </a:r>
            <a:r>
              <a:rPr lang="en-US" b="1"/>
              <a:t>31</a:t>
            </a:r>
            <a:r>
              <a:rPr lang="zh-CN" b="1"/>
              <a:t>日）</a:t>
            </a:r>
            <a:endParaRPr lang="zh-CN" b="1"/>
          </a:p>
        </c:rich>
      </c:tx>
      <c:layout>
        <c:manualLayout>
          <c:xMode val="edge"/>
          <c:yMode val="edge"/>
          <c:x val="0.256549090092114"/>
          <c:y val="0.00611246943765281"/>
        </c:manualLayout>
      </c:layout>
      <c:overlay val="false"/>
      <c:spPr>
        <a:noFill/>
        <a:ln>
          <a:noFill/>
        </a:ln>
        <a:effectLst/>
      </c:spPr>
    </c:title>
    <c:autoTitleDeleted val="false"/>
    <c:plotArea>
      <c:layout/>
      <c:barChart>
        <c:barDir val="col"/>
        <c:grouping val="clustered"/>
        <c:varyColors val="false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false"/>
          <c:dPt>
            <c:idx val="5"/>
            <c:invertIfNegative val="false"/>
            <c:bubble3D val="false"/>
            <c:spPr>
              <a:solidFill>
                <a:srgbClr val="FFC000"/>
              </a:solidFill>
              <a:ln>
                <a:noFill/>
              </a:ln>
              <a:effectLst/>
            </c:spPr>
          </c:dPt>
          <c:dLbls>
            <c:dLbl>
              <c:idx val="2"/>
              <c:layout>
                <c:manualLayout>
                  <c:x val="0"/>
                  <c:y val="-0.0101781170483461"/>
                </c:manualLayout>
              </c:layout>
              <c:dLblPos val="outEnd"/>
              <c:showLegendKey val="false"/>
              <c:showVal val="true"/>
              <c:showCatName val="false"/>
              <c:showSerName val="false"/>
              <c:showPercent val="false"/>
              <c:showBubbleSize val="false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6.85863133091986e-17"/>
                  <c:y val="0.0254452926208651"/>
                </c:manualLayout>
              </c:layout>
              <c:dLblPos val="outEnd"/>
              <c:showLegendKey val="false"/>
              <c:showVal val="true"/>
              <c:showCatName val="false"/>
              <c:showSerName val="false"/>
              <c:showPercent val="false"/>
              <c:showBubbleSize val="false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0.0166456292200116"/>
                </c:manualLayout>
              </c:layout>
              <c:dLblPos val="outEnd"/>
              <c:showLegendKey val="false"/>
              <c:showVal val="true"/>
              <c:showCatName val="false"/>
              <c:showSerName val="false"/>
              <c:showPercent val="false"/>
              <c:showBubbleSize val="false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true">
                <a:spAutoFit/>
              </a:bodyPr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charset="0"/>
                    <a:ea typeface="宋体" charset="-122"/>
                    <a:cs typeface="Times New Roman" charset="0"/>
                  </a:defRPr>
                </a:pPr>
              </a:p>
            </c:txPr>
            <c:dLblPos val="outEnd"/>
            <c:showLegendKey val="false"/>
            <c:showVal val="true"/>
            <c:showCatName val="false"/>
            <c:showSerName val="false"/>
            <c:showPercent val="false"/>
            <c:showBubbleSize val="false"/>
            <c:showLeaderLines val="false"/>
            <c:extLst>
              <c:ext xmlns:c15="http://schemas.microsoft.com/office/drawing/2012/chart" uri="{CE6537A1-D6FC-4f65-9D91-7224C49458BB}">
                <c15:layout/>
                <c15:showLeaderLines val="false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分项!$A$2:$A$7</c:f>
              <c:strCache>
                <c:ptCount val="6"/>
                <c:pt idx="0">
                  <c:v>提升灌溉设施</c:v>
                </c:pt>
                <c:pt idx="1">
                  <c:v>改造供水管网</c:v>
                </c:pt>
                <c:pt idx="2">
                  <c:v>病险山塘整治</c:v>
                </c:pt>
                <c:pt idx="3">
                  <c:v>水库除险加固</c:v>
                </c:pt>
                <c:pt idx="4">
                  <c:v>中小河流治理</c:v>
                </c:pt>
                <c:pt idx="5">
                  <c:v>提标加固海塘</c:v>
                </c:pt>
              </c:strCache>
            </c:strRef>
          </c:cat>
          <c:val>
            <c:numRef>
              <c:f>分项!$B$2:$B$7</c:f>
              <c:numCache>
                <c:formatCode>0.00%</c:formatCode>
                <c:ptCount val="6"/>
                <c:pt idx="0">
                  <c:v>0.9999</c:v>
                </c:pt>
                <c:pt idx="1">
                  <c:v>0.9974</c:v>
                </c:pt>
                <c:pt idx="2">
                  <c:v>0.9622</c:v>
                </c:pt>
                <c:pt idx="3">
                  <c:v>0.9547</c:v>
                </c:pt>
                <c:pt idx="4">
                  <c:v>0.9315</c:v>
                </c:pt>
                <c:pt idx="5">
                  <c:v>0.7218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150"/>
        <c:axId val="881264440"/>
        <c:axId val="881264832"/>
      </c:barChart>
      <c:lineChart>
        <c:grouping val="standard"/>
        <c:varyColors val="false"/>
        <c:ser>
          <c:idx val="1"/>
          <c:order val="1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elete val="true"/>
          </c:dLbls>
          <c:cat>
            <c:strRef>
              <c:f>分项!$A$2:$A$7</c:f>
              <c:strCache>
                <c:ptCount val="6"/>
                <c:pt idx="0">
                  <c:v>提升灌溉设施</c:v>
                </c:pt>
                <c:pt idx="1">
                  <c:v>改造供水管网</c:v>
                </c:pt>
                <c:pt idx="2">
                  <c:v>病险山塘整治</c:v>
                </c:pt>
                <c:pt idx="3">
                  <c:v>水库除险加固</c:v>
                </c:pt>
                <c:pt idx="4">
                  <c:v>中小河流治理</c:v>
                </c:pt>
                <c:pt idx="5">
                  <c:v>提标加固海塘</c:v>
                </c:pt>
              </c:strCache>
            </c:strRef>
          </c:cat>
          <c:val>
            <c:numRef>
              <c:f>分项!$C$2:$C$7</c:f>
              <c:numCache>
                <c:formatCode>0.00%</c:formatCode>
                <c:ptCount val="6"/>
                <c:pt idx="0">
                  <c:v>0.981894561403509</c:v>
                </c:pt>
                <c:pt idx="1">
                  <c:v>0.981894561403509</c:v>
                </c:pt>
                <c:pt idx="2">
                  <c:v>0.981894561403509</c:v>
                </c:pt>
                <c:pt idx="3">
                  <c:v>0.981894561403509</c:v>
                </c:pt>
                <c:pt idx="4">
                  <c:v>0.981894561403509</c:v>
                </c:pt>
                <c:pt idx="5">
                  <c:v>0.981894561403509</c:v>
                </c:pt>
              </c:numCache>
            </c:numRef>
          </c:val>
          <c:smooth val="false"/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marker val="false"/>
        <c:smooth val="false"/>
        <c:axId val="881264440"/>
        <c:axId val="881264832"/>
      </c:lineChart>
      <c:catAx>
        <c:axId val="881264440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charset="0"/>
                <a:ea typeface="宋体" charset="-122"/>
                <a:cs typeface="Times New Roman" charset="0"/>
              </a:defRPr>
            </a:pPr>
          </a:p>
        </c:txPr>
        <c:crossAx val="881264832"/>
        <c:crosses val="autoZero"/>
        <c:auto val="true"/>
        <c:lblAlgn val="ctr"/>
        <c:lblOffset val="100"/>
        <c:noMultiLvlLbl val="false"/>
      </c:catAx>
      <c:valAx>
        <c:axId val="881264832"/>
        <c:scaling>
          <c:orientation val="minMax"/>
          <c:max val="1"/>
          <c:min val="0.6"/>
        </c:scaling>
        <c:delete val="false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true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charset="0"/>
                <a:ea typeface="宋体" charset="-122"/>
                <a:cs typeface="Times New Roman" charset="0"/>
              </a:defRPr>
            </a:pPr>
          </a:p>
        </c:txPr>
        <c:crossAx val="88126444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true"/>
    <c:dispBlanksAs val="gap"/>
    <c:showDLblsOverMax val="false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 sz="1000">
          <a:latin typeface="Times New Roman" charset="0"/>
          <a:ea typeface="宋体" charset="-122"/>
          <a:cs typeface="Times New Roman" charset="0"/>
        </a:defRPr>
      </a:pPr>
    </a:p>
  </c:txPr>
  <c:externalData r:id="rId1">
    <c:autoUpdate val="false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true"/>
          <a:lstStyle/>
          <a:p>
            <a:pPr>
              <a:defRPr lang="zh-CN" sz="1200" b="1" i="0" u="none" strike="noStrike" kern="1200" baseline="0">
                <a:solidFill>
                  <a:schemeClr val="tx1"/>
                </a:solidFill>
                <a:latin typeface="Times New Roman" charset="0"/>
                <a:ea typeface="+mn-ea"/>
                <a:cs typeface="Times New Roman" charset="0"/>
              </a:defRPr>
            </a:pPr>
            <a:r>
              <a:rPr lang="zh-CN"/>
              <a:t>整治病险山塘分市完成率</a:t>
            </a:r>
            <a:r>
              <a:rPr lang="zh-CN" altLang="en-US"/>
              <a:t>（截至</a:t>
            </a:r>
            <a:r>
              <a:rPr lang="en-US" altLang="zh-CN"/>
              <a:t>7</a:t>
            </a:r>
            <a:r>
              <a:rPr lang="zh-CN" altLang="en-US"/>
              <a:t>月</a:t>
            </a:r>
            <a:r>
              <a:rPr lang="en-US" altLang="zh-CN"/>
              <a:t>31</a:t>
            </a:r>
            <a:r>
              <a:rPr lang="zh-CN" altLang="en-US"/>
              <a:t>日）</a:t>
            </a:r>
            <a:endParaRPr lang="zh-CN"/>
          </a:p>
        </c:rich>
      </c:tx>
      <c:layout/>
      <c:overlay val="false"/>
      <c:spPr>
        <a:noFill/>
        <a:ln>
          <a:noFill/>
        </a:ln>
        <a:effectLst/>
      </c:spPr>
    </c:title>
    <c:autoTitleDeleted val="false"/>
    <c:plotArea>
      <c:layout/>
      <c:barChart>
        <c:barDir val="col"/>
        <c:grouping val="clustered"/>
        <c:varyColors val="false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false"/>
          <c:dPt>
            <c:idx val="7"/>
            <c:invertIfNegative val="false"/>
            <c:bubble3D val="false"/>
            <c:spPr>
              <a:solidFill>
                <a:srgbClr val="FFC000"/>
              </a:solidFill>
              <a:ln>
                <a:noFill/>
              </a:ln>
              <a:effectLst/>
            </c:spPr>
          </c:dPt>
          <c:dPt>
            <c:idx val="8"/>
            <c:invertIfNegative val="false"/>
            <c:bubble3D val="false"/>
            <c:spPr>
              <a:solidFill>
                <a:srgbClr val="FFC000"/>
              </a:solidFill>
              <a:ln>
                <a:noFill/>
              </a:ln>
              <a:effectLst/>
            </c:spPr>
          </c:dPt>
          <c:dPt>
            <c:idx val="9"/>
            <c:invertIfNegative val="false"/>
            <c:bubble3D val="false"/>
            <c:spPr>
              <a:solidFill>
                <a:srgbClr val="FFC000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true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Times New Roman" charset="0"/>
                    <a:ea typeface="+mn-ea"/>
                    <a:cs typeface="Times New Roman" charset="0"/>
                  </a:defRPr>
                </a:pPr>
              </a:p>
            </c:txPr>
            <c:dLblPos val="outEnd"/>
            <c:showLegendKey val="false"/>
            <c:showVal val="true"/>
            <c:showCatName val="false"/>
            <c:showSerName val="false"/>
            <c:showPercent val="false"/>
            <c:showBubbleSize val="false"/>
            <c:showLeaderLines val="false"/>
            <c:extLst>
              <c:ext xmlns:c15="http://schemas.microsoft.com/office/drawing/2012/chart" uri="{CE6537A1-D6FC-4f65-9D91-7224C49458BB}">
                <c15:layout/>
                <c15:showLeaderLines val="true"/>
                <c15:leaderLines/>
              </c:ext>
            </c:extLst>
          </c:dLbls>
          <c:cat>
            <c:strRef>
              <c:f>山塘!$A$2:$A$11</c:f>
              <c:strCache>
                <c:ptCount val="10"/>
                <c:pt idx="0">
                  <c:v>湖州市</c:v>
                </c:pt>
                <c:pt idx="1">
                  <c:v>丽水市</c:v>
                </c:pt>
                <c:pt idx="2">
                  <c:v>衢州市</c:v>
                </c:pt>
                <c:pt idx="3">
                  <c:v>温州市</c:v>
                </c:pt>
                <c:pt idx="4">
                  <c:v>宁波市</c:v>
                </c:pt>
                <c:pt idx="5">
                  <c:v>杭州市</c:v>
                </c:pt>
                <c:pt idx="6">
                  <c:v>金华市</c:v>
                </c:pt>
                <c:pt idx="7">
                  <c:v>舟山市</c:v>
                </c:pt>
                <c:pt idx="8">
                  <c:v>台州市</c:v>
                </c:pt>
                <c:pt idx="9">
                  <c:v>绍兴市</c:v>
                </c:pt>
              </c:strCache>
            </c:strRef>
          </c:cat>
          <c:val>
            <c:numRef>
              <c:f>山塘!$B$2:$B$11</c:f>
              <c:numCache>
                <c:formatCode>0.00%</c:formatCode>
                <c:ptCount val="10"/>
                <c:pt idx="0">
                  <c:v>1.2</c:v>
                </c:pt>
                <c:pt idx="1">
                  <c:v>0.9615</c:v>
                </c:pt>
                <c:pt idx="2">
                  <c:v>0.7333</c:v>
                </c:pt>
                <c:pt idx="3">
                  <c:v>0.6667</c:v>
                </c:pt>
                <c:pt idx="4">
                  <c:v>0.6571</c:v>
                </c:pt>
                <c:pt idx="5">
                  <c:v>0.625</c:v>
                </c:pt>
                <c:pt idx="6">
                  <c:v>0.6218</c:v>
                </c:pt>
                <c:pt idx="7">
                  <c:v>0.4286</c:v>
                </c:pt>
                <c:pt idx="8">
                  <c:v>0.4167</c:v>
                </c:pt>
                <c:pt idx="9">
                  <c:v>0.381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150"/>
        <c:axId val="887981832"/>
        <c:axId val="887982224"/>
      </c:barChart>
      <c:lineChart>
        <c:grouping val="standard"/>
        <c:varyColors val="false"/>
        <c:ser>
          <c:idx val="1"/>
          <c:order val="1"/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delete val="true"/>
          </c:dLbls>
          <c:cat>
            <c:strRef>
              <c:f>山塘!$A$2:$A$11</c:f>
              <c:strCache>
                <c:ptCount val="10"/>
                <c:pt idx="0">
                  <c:v>湖州市</c:v>
                </c:pt>
                <c:pt idx="1">
                  <c:v>丽水市</c:v>
                </c:pt>
                <c:pt idx="2">
                  <c:v>衢州市</c:v>
                </c:pt>
                <c:pt idx="3">
                  <c:v>温州市</c:v>
                </c:pt>
                <c:pt idx="4">
                  <c:v>宁波市</c:v>
                </c:pt>
                <c:pt idx="5">
                  <c:v>杭州市</c:v>
                </c:pt>
                <c:pt idx="6">
                  <c:v>金华市</c:v>
                </c:pt>
                <c:pt idx="7">
                  <c:v>舟山市</c:v>
                </c:pt>
                <c:pt idx="8">
                  <c:v>台州市</c:v>
                </c:pt>
                <c:pt idx="9">
                  <c:v>绍兴市</c:v>
                </c:pt>
              </c:strCache>
            </c:strRef>
          </c:cat>
          <c:val>
            <c:numRef>
              <c:f>山塘!$C$2:$C$11</c:f>
              <c:numCache>
                <c:formatCode>0.00%</c:formatCode>
                <c:ptCount val="10"/>
                <c:pt idx="0">
                  <c:v>0.5978</c:v>
                </c:pt>
                <c:pt idx="1">
                  <c:v>0.5978</c:v>
                </c:pt>
                <c:pt idx="2">
                  <c:v>0.5978</c:v>
                </c:pt>
                <c:pt idx="3">
                  <c:v>0.5978</c:v>
                </c:pt>
                <c:pt idx="4">
                  <c:v>0.5978</c:v>
                </c:pt>
                <c:pt idx="5">
                  <c:v>0.5978</c:v>
                </c:pt>
                <c:pt idx="6">
                  <c:v>0.5978</c:v>
                </c:pt>
                <c:pt idx="7">
                  <c:v>0.5978</c:v>
                </c:pt>
                <c:pt idx="8">
                  <c:v>0.5978</c:v>
                </c:pt>
                <c:pt idx="9">
                  <c:v>0.5978</c:v>
                </c:pt>
              </c:numCache>
            </c:numRef>
          </c:val>
          <c:smooth val="false"/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marker val="false"/>
        <c:smooth val="false"/>
        <c:axId val="887981832"/>
        <c:axId val="887982224"/>
      </c:lineChart>
      <c:catAx>
        <c:axId val="887981832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charset="0"/>
                <a:ea typeface="+mn-ea"/>
                <a:cs typeface="Times New Roman" charset="0"/>
              </a:defRPr>
            </a:pPr>
          </a:p>
        </c:txPr>
        <c:crossAx val="887982224"/>
        <c:crosses val="autoZero"/>
        <c:auto val="true"/>
        <c:lblAlgn val="ctr"/>
        <c:lblOffset val="100"/>
        <c:noMultiLvlLbl val="false"/>
      </c:catAx>
      <c:valAx>
        <c:axId val="887982224"/>
        <c:scaling>
          <c:orientation val="minMax"/>
        </c:scaling>
        <c:delete val="false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.00%" sourceLinked="true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charset="0"/>
                <a:ea typeface="+mn-ea"/>
                <a:cs typeface="Times New Roman" charset="0"/>
              </a:defRPr>
            </a:pPr>
          </a:p>
        </c:txPr>
        <c:crossAx val="887981832"/>
        <c:crosses val="autoZero"/>
        <c:crossBetween val="between"/>
      </c:valAx>
      <c:spPr>
        <a:noFill/>
        <a:ln w="25400">
          <a:noFill/>
        </a:ln>
      </c:spPr>
    </c:plotArea>
    <c:plotVisOnly val="true"/>
    <c:dispBlanksAs val="gap"/>
    <c:showDLblsOverMax val="false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 sz="1000">
          <a:latin typeface="Times New Roman" charset="0"/>
          <a:ea typeface="+mn-ea"/>
          <a:cs typeface="Times New Roman" charset="0"/>
        </a:defRPr>
      </a:pPr>
    </a:p>
  </c:txPr>
  <c:externalData r:id="rId1">
    <c:autoUpdate val="false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true"/>
          <a:lstStyle/>
          <a:p>
            <a:pPr>
              <a:defRPr lang="zh-CN" sz="1200" b="1" i="0" u="none" strike="noStrike" kern="1200" baseline="0">
                <a:solidFill>
                  <a:schemeClr val="tx1"/>
                </a:solidFill>
                <a:latin typeface="Times New Roman" charset="0"/>
                <a:ea typeface="宋体" charset="-122"/>
                <a:cs typeface="Times New Roman" charset="0"/>
              </a:defRPr>
            </a:pPr>
            <a:r>
              <a:rPr lang="zh-CN"/>
              <a:t>提升灌溉设施分市进度</a:t>
            </a:r>
            <a:r>
              <a:rPr lang="zh-CN" altLang="en-US"/>
              <a:t>（截至</a:t>
            </a:r>
            <a:r>
              <a:rPr lang="en-US" altLang="zh-CN"/>
              <a:t>7</a:t>
            </a:r>
            <a:r>
              <a:rPr lang="zh-CN" altLang="en-US"/>
              <a:t>月</a:t>
            </a:r>
            <a:r>
              <a:rPr lang="en-US" altLang="zh-CN"/>
              <a:t>31</a:t>
            </a:r>
            <a:r>
              <a:rPr lang="zh-CN" altLang="en-US"/>
              <a:t>日）</a:t>
            </a:r>
            <a:endParaRPr lang="zh-CN"/>
          </a:p>
        </c:rich>
      </c:tx>
      <c:layout/>
      <c:overlay val="false"/>
      <c:spPr>
        <a:noFill/>
        <a:ln>
          <a:noFill/>
        </a:ln>
        <a:effectLst/>
      </c:spPr>
    </c:title>
    <c:autoTitleDeleted val="false"/>
    <c:plotArea>
      <c:layout/>
      <c:barChart>
        <c:barDir val="col"/>
        <c:grouping val="clustered"/>
        <c:varyColors val="false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false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true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Times New Roman" charset="0"/>
                    <a:ea typeface="宋体" charset="-122"/>
                    <a:cs typeface="Times New Roman" charset="0"/>
                  </a:defRPr>
                </a:pPr>
              </a:p>
            </c:txPr>
            <c:dLblPos val="outEnd"/>
            <c:showLegendKey val="false"/>
            <c:showVal val="true"/>
            <c:showCatName val="false"/>
            <c:showSerName val="false"/>
            <c:showPercent val="false"/>
            <c:showBubbleSize val="false"/>
            <c:showLeaderLines val="false"/>
            <c:extLst>
              <c:ext xmlns:c15="http://schemas.microsoft.com/office/drawing/2012/chart" uri="{CE6537A1-D6FC-4f65-9D91-7224C49458BB}">
                <c15:layout/>
                <c15:showLeaderLines val="false"/>
                <c15:leaderLines/>
              </c:ext>
            </c:extLst>
          </c:dLbls>
          <c:cat>
            <c:strRef>
              <c:f>灌溉!$A$2:$A$12</c:f>
              <c:strCache>
                <c:ptCount val="11"/>
                <c:pt idx="0">
                  <c:v>杭州市</c:v>
                </c:pt>
                <c:pt idx="1">
                  <c:v>宁波市</c:v>
                </c:pt>
                <c:pt idx="2">
                  <c:v>温州市</c:v>
                </c:pt>
                <c:pt idx="3">
                  <c:v>嘉兴市</c:v>
                </c:pt>
                <c:pt idx="4">
                  <c:v>绍兴市</c:v>
                </c:pt>
                <c:pt idx="5">
                  <c:v>金华市</c:v>
                </c:pt>
                <c:pt idx="6">
                  <c:v>衢州市</c:v>
                </c:pt>
                <c:pt idx="7">
                  <c:v>舟山市</c:v>
                </c:pt>
                <c:pt idx="8">
                  <c:v>台州市</c:v>
                </c:pt>
                <c:pt idx="9">
                  <c:v>丽水市</c:v>
                </c:pt>
                <c:pt idx="10">
                  <c:v>湖州市</c:v>
                </c:pt>
              </c:strCache>
            </c:strRef>
          </c:cat>
          <c:val>
            <c:numRef>
              <c:f>灌溉!$B$2:$B$12</c:f>
              <c:numCache>
                <c:formatCode>0.00%</c:formatCode>
                <c:ptCount val="11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0.9995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150"/>
        <c:axId val="887983400"/>
        <c:axId val="887983792"/>
      </c:barChart>
      <c:lineChart>
        <c:grouping val="standard"/>
        <c:varyColors val="false"/>
        <c:ser>
          <c:idx val="1"/>
          <c:order val="1"/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delete val="true"/>
          </c:dLbls>
          <c:cat>
            <c:strRef>
              <c:f>灌溉!$A$2:$A$12</c:f>
              <c:strCache>
                <c:ptCount val="11"/>
                <c:pt idx="0">
                  <c:v>杭州市</c:v>
                </c:pt>
                <c:pt idx="1">
                  <c:v>宁波市</c:v>
                </c:pt>
                <c:pt idx="2">
                  <c:v>温州市</c:v>
                </c:pt>
                <c:pt idx="3">
                  <c:v>嘉兴市</c:v>
                </c:pt>
                <c:pt idx="4">
                  <c:v>绍兴市</c:v>
                </c:pt>
                <c:pt idx="5">
                  <c:v>金华市</c:v>
                </c:pt>
                <c:pt idx="6">
                  <c:v>衢州市</c:v>
                </c:pt>
                <c:pt idx="7">
                  <c:v>舟山市</c:v>
                </c:pt>
                <c:pt idx="8">
                  <c:v>台州市</c:v>
                </c:pt>
                <c:pt idx="9">
                  <c:v>丽水市</c:v>
                </c:pt>
                <c:pt idx="10">
                  <c:v>湖州市</c:v>
                </c:pt>
              </c:strCache>
            </c:strRef>
          </c:cat>
          <c:val>
            <c:numRef>
              <c:f>灌溉!$C$2:$C$12</c:f>
              <c:numCache>
                <c:formatCode>0.00%</c:formatCode>
                <c:ptCount val="11"/>
                <c:pt idx="0">
                  <c:v>0.9999</c:v>
                </c:pt>
                <c:pt idx="1">
                  <c:v>0.9999</c:v>
                </c:pt>
                <c:pt idx="2">
                  <c:v>0.9999</c:v>
                </c:pt>
                <c:pt idx="3">
                  <c:v>0.9999</c:v>
                </c:pt>
                <c:pt idx="4">
                  <c:v>0.9999</c:v>
                </c:pt>
                <c:pt idx="5">
                  <c:v>0.9999</c:v>
                </c:pt>
                <c:pt idx="6">
                  <c:v>0.9999</c:v>
                </c:pt>
                <c:pt idx="7">
                  <c:v>0.9999</c:v>
                </c:pt>
                <c:pt idx="8">
                  <c:v>0.9999</c:v>
                </c:pt>
                <c:pt idx="9">
                  <c:v>0.9999</c:v>
                </c:pt>
                <c:pt idx="10">
                  <c:v>0.9999</c:v>
                </c:pt>
              </c:numCache>
            </c:numRef>
          </c:val>
          <c:smooth val="false"/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marker val="false"/>
        <c:smooth val="false"/>
        <c:axId val="887983400"/>
        <c:axId val="887983792"/>
      </c:lineChart>
      <c:catAx>
        <c:axId val="887983400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charset="0"/>
                <a:ea typeface="宋体" charset="-122"/>
                <a:cs typeface="Times New Roman" charset="0"/>
              </a:defRPr>
            </a:pPr>
          </a:p>
        </c:txPr>
        <c:crossAx val="887983792"/>
        <c:crosses val="autoZero"/>
        <c:auto val="true"/>
        <c:lblAlgn val="ctr"/>
        <c:lblOffset val="100"/>
        <c:noMultiLvlLbl val="false"/>
      </c:catAx>
      <c:valAx>
        <c:axId val="887983792"/>
        <c:scaling>
          <c:orientation val="minMax"/>
          <c:max val="1.02"/>
          <c:min val="0.9"/>
        </c:scaling>
        <c:delete val="false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.00%" sourceLinked="true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charset="0"/>
                <a:ea typeface="宋体" charset="-122"/>
                <a:cs typeface="Times New Roman" charset="0"/>
              </a:defRPr>
            </a:pPr>
          </a:p>
        </c:txPr>
        <c:crossAx val="887983400"/>
        <c:crosses val="autoZero"/>
        <c:crossBetween val="between"/>
        <c:majorUnit val="0.02"/>
      </c:valAx>
      <c:spPr>
        <a:noFill/>
        <a:ln w="25400">
          <a:noFill/>
        </a:ln>
      </c:spPr>
    </c:plotArea>
    <c:plotVisOnly val="true"/>
    <c:dispBlanksAs val="gap"/>
    <c:showDLblsOverMax val="false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 sz="1000">
          <a:latin typeface="Times New Roman" charset="0"/>
          <a:ea typeface="宋体" charset="-122"/>
          <a:cs typeface="Times New Roman" charset="0"/>
        </a:defRPr>
      </a:pPr>
    </a:p>
  </c:txPr>
  <c:externalData r:id="rId1">
    <c:autoUpdate val="false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true"/>
          <a:lstStyle/>
          <a:p>
            <a:pPr>
              <a:defRPr lang="zh-CN" sz="1200" b="1" i="0" u="none" strike="noStrike" kern="1200" baseline="0">
                <a:solidFill>
                  <a:schemeClr val="tx1"/>
                </a:solidFill>
                <a:latin typeface="Times New Roman" charset="0"/>
                <a:ea typeface="+mn-ea"/>
                <a:cs typeface="Times New Roman" charset="0"/>
              </a:defRPr>
            </a:pPr>
            <a:r>
              <a:rPr lang="zh-CN"/>
              <a:t>提升灌溉设施分市完成率</a:t>
            </a:r>
            <a:r>
              <a:rPr lang="zh-CN" altLang="en-US"/>
              <a:t>（截至</a:t>
            </a:r>
            <a:r>
              <a:rPr lang="en-US" altLang="zh-CN"/>
              <a:t>7</a:t>
            </a:r>
            <a:r>
              <a:rPr lang="zh-CN" altLang="en-US"/>
              <a:t>月</a:t>
            </a:r>
            <a:r>
              <a:rPr lang="en-US" altLang="zh-CN"/>
              <a:t>31</a:t>
            </a:r>
            <a:r>
              <a:rPr lang="zh-CN" altLang="en-US"/>
              <a:t>日）</a:t>
            </a:r>
            <a:endParaRPr lang="zh-CN"/>
          </a:p>
        </c:rich>
      </c:tx>
      <c:layout/>
      <c:overlay val="false"/>
      <c:spPr>
        <a:noFill/>
        <a:ln>
          <a:noFill/>
        </a:ln>
        <a:effectLst/>
      </c:spPr>
    </c:title>
    <c:autoTitleDeleted val="false"/>
    <c:plotArea>
      <c:layout/>
      <c:barChart>
        <c:barDir val="col"/>
        <c:grouping val="clustered"/>
        <c:varyColors val="false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false"/>
          <c:dLbls>
            <c:dLbl>
              <c:idx val="5"/>
              <c:layout>
                <c:manualLayout>
                  <c:x val="0"/>
                  <c:y val="0.0185185185185185"/>
                </c:manualLayout>
              </c:layout>
              <c:dLblPos val="outEnd"/>
              <c:showLegendKey val="false"/>
              <c:showVal val="true"/>
              <c:showCatName val="false"/>
              <c:showSerName val="false"/>
              <c:showPercent val="false"/>
              <c:showBubbleSize val="false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"/>
                  <c:y val="0.0138888888888889"/>
                </c:manualLayout>
              </c:layout>
              <c:dLblPos val="outEnd"/>
              <c:showLegendKey val="false"/>
              <c:showVal val="true"/>
              <c:showCatName val="false"/>
              <c:showSerName val="false"/>
              <c:showPercent val="false"/>
              <c:showBubbleSize val="false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true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Times New Roman" charset="0"/>
                    <a:ea typeface="+mn-ea"/>
                    <a:cs typeface="Times New Roman" charset="0"/>
                  </a:defRPr>
                </a:pPr>
              </a:p>
            </c:txPr>
            <c:dLblPos val="outEnd"/>
            <c:showLegendKey val="false"/>
            <c:showVal val="true"/>
            <c:showCatName val="false"/>
            <c:showSerName val="false"/>
            <c:showPercent val="false"/>
            <c:showBubbleSize val="false"/>
            <c:showLeaderLines val="false"/>
            <c:extLst>
              <c:ext xmlns:c15="http://schemas.microsoft.com/office/drawing/2012/chart" uri="{CE6537A1-D6FC-4f65-9D91-7224C49458BB}">
                <c15:layout/>
                <c15:showLeaderLines val="false"/>
                <c15:leaderLines/>
              </c:ext>
            </c:extLst>
          </c:dLbls>
          <c:cat>
            <c:strRef>
              <c:f>灌溉!$A$2:$A$12</c:f>
              <c:strCache>
                <c:ptCount val="11"/>
                <c:pt idx="0">
                  <c:v>杭州市</c:v>
                </c:pt>
                <c:pt idx="1">
                  <c:v>绍兴市</c:v>
                </c:pt>
                <c:pt idx="2">
                  <c:v>舟山市</c:v>
                </c:pt>
                <c:pt idx="3">
                  <c:v>湖州市</c:v>
                </c:pt>
                <c:pt idx="4">
                  <c:v>宁波市</c:v>
                </c:pt>
                <c:pt idx="5">
                  <c:v>台州市</c:v>
                </c:pt>
                <c:pt idx="6">
                  <c:v>丽水市</c:v>
                </c:pt>
                <c:pt idx="7">
                  <c:v>嘉兴市</c:v>
                </c:pt>
                <c:pt idx="8">
                  <c:v>金华市</c:v>
                </c:pt>
                <c:pt idx="9">
                  <c:v>衢州市</c:v>
                </c:pt>
                <c:pt idx="10">
                  <c:v>温州市</c:v>
                </c:pt>
              </c:strCache>
            </c:strRef>
          </c:cat>
          <c:val>
            <c:numRef>
              <c:f>灌溉!$B$2:$B$12</c:f>
              <c:numCache>
                <c:formatCode>0.00%</c:formatCode>
                <c:ptCount val="11"/>
                <c:pt idx="0">
                  <c:v>1.2209</c:v>
                </c:pt>
                <c:pt idx="1">
                  <c:v>1.1883</c:v>
                </c:pt>
                <c:pt idx="2">
                  <c:v>1.1667</c:v>
                </c:pt>
                <c:pt idx="3">
                  <c:v>1.1588</c:v>
                </c:pt>
                <c:pt idx="4">
                  <c:v>1.1317</c:v>
                </c:pt>
                <c:pt idx="5">
                  <c:v>1.1049</c:v>
                </c:pt>
                <c:pt idx="6">
                  <c:v>1.0964</c:v>
                </c:pt>
                <c:pt idx="7">
                  <c:v>1.0807</c:v>
                </c:pt>
                <c:pt idx="8">
                  <c:v>1.0727</c:v>
                </c:pt>
                <c:pt idx="9">
                  <c:v>1.0649</c:v>
                </c:pt>
                <c:pt idx="10">
                  <c:v>1.0635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150"/>
        <c:axId val="887984576"/>
        <c:axId val="887984968"/>
      </c:barChart>
      <c:lineChart>
        <c:grouping val="standard"/>
        <c:varyColors val="false"/>
        <c:ser>
          <c:idx val="1"/>
          <c:order val="1"/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delete val="true"/>
          </c:dLbls>
          <c:cat>
            <c:strRef>
              <c:f>灌溉!$A$2:$A$12</c:f>
              <c:strCache>
                <c:ptCount val="11"/>
                <c:pt idx="0">
                  <c:v>杭州市</c:v>
                </c:pt>
                <c:pt idx="1">
                  <c:v>绍兴市</c:v>
                </c:pt>
                <c:pt idx="2">
                  <c:v>舟山市</c:v>
                </c:pt>
                <c:pt idx="3">
                  <c:v>湖州市</c:v>
                </c:pt>
                <c:pt idx="4">
                  <c:v>宁波市</c:v>
                </c:pt>
                <c:pt idx="5">
                  <c:v>台州市</c:v>
                </c:pt>
                <c:pt idx="6">
                  <c:v>丽水市</c:v>
                </c:pt>
                <c:pt idx="7">
                  <c:v>嘉兴市</c:v>
                </c:pt>
                <c:pt idx="8">
                  <c:v>金华市</c:v>
                </c:pt>
                <c:pt idx="9">
                  <c:v>衢州市</c:v>
                </c:pt>
                <c:pt idx="10">
                  <c:v>温州市</c:v>
                </c:pt>
              </c:strCache>
            </c:strRef>
          </c:cat>
          <c:val>
            <c:numRef>
              <c:f>灌溉!$C$2:$C$12</c:f>
              <c:numCache>
                <c:formatCode>0.00%</c:formatCode>
                <c:ptCount val="11"/>
                <c:pt idx="0">
                  <c:v>1.1253</c:v>
                </c:pt>
                <c:pt idx="1">
                  <c:v>1.1253</c:v>
                </c:pt>
                <c:pt idx="2">
                  <c:v>1.1253</c:v>
                </c:pt>
                <c:pt idx="3">
                  <c:v>1.1253</c:v>
                </c:pt>
                <c:pt idx="4">
                  <c:v>1.1253</c:v>
                </c:pt>
                <c:pt idx="5">
                  <c:v>1.1253</c:v>
                </c:pt>
                <c:pt idx="6">
                  <c:v>1.1253</c:v>
                </c:pt>
                <c:pt idx="7">
                  <c:v>1.1253</c:v>
                </c:pt>
                <c:pt idx="8">
                  <c:v>1.1253</c:v>
                </c:pt>
                <c:pt idx="9">
                  <c:v>1.1253</c:v>
                </c:pt>
                <c:pt idx="10">
                  <c:v>1.1253</c:v>
                </c:pt>
              </c:numCache>
            </c:numRef>
          </c:val>
          <c:smooth val="false"/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marker val="false"/>
        <c:smooth val="false"/>
        <c:axId val="887984576"/>
        <c:axId val="887984968"/>
      </c:lineChart>
      <c:catAx>
        <c:axId val="887984576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charset="0"/>
                <a:ea typeface="+mn-ea"/>
                <a:cs typeface="Times New Roman" charset="0"/>
              </a:defRPr>
            </a:pPr>
          </a:p>
        </c:txPr>
        <c:crossAx val="887984968"/>
        <c:crosses val="autoZero"/>
        <c:auto val="true"/>
        <c:lblAlgn val="ctr"/>
        <c:lblOffset val="100"/>
        <c:noMultiLvlLbl val="false"/>
      </c:catAx>
      <c:valAx>
        <c:axId val="887984968"/>
        <c:scaling>
          <c:orientation val="minMax"/>
        </c:scaling>
        <c:delete val="false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.00%" sourceLinked="true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charset="0"/>
                <a:ea typeface="+mn-ea"/>
                <a:cs typeface="Times New Roman" charset="0"/>
              </a:defRPr>
            </a:pPr>
          </a:p>
        </c:txPr>
        <c:crossAx val="887984576"/>
        <c:crosses val="autoZero"/>
        <c:crossBetween val="between"/>
      </c:valAx>
      <c:spPr>
        <a:noFill/>
        <a:ln w="25400">
          <a:noFill/>
        </a:ln>
      </c:spPr>
    </c:plotArea>
    <c:plotVisOnly val="true"/>
    <c:dispBlanksAs val="gap"/>
    <c:showDLblsOverMax val="false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 sz="1000">
          <a:latin typeface="Times New Roman" charset="0"/>
          <a:ea typeface="+mn-ea"/>
          <a:cs typeface="Times New Roman" charset="0"/>
        </a:defRPr>
      </a:pPr>
    </a:p>
  </c:txPr>
  <c:externalData r:id="rId1">
    <c:autoUpdate val="false"/>
  </c:externalData>
  <c:userShapes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true"/>
          <a:lstStyle/>
          <a:p>
            <a:pPr>
              <a:defRPr lang="zh-CN" sz="1200" b="1" i="0" u="none" strike="noStrike" kern="1200" baseline="0">
                <a:solidFill>
                  <a:schemeClr val="tx1"/>
                </a:solidFill>
                <a:latin typeface="Times New Roman" charset="0"/>
                <a:ea typeface="宋体" charset="-122"/>
                <a:cs typeface="Times New Roman" charset="0"/>
              </a:defRPr>
            </a:pPr>
            <a:r>
              <a:rPr lang="zh-CN"/>
              <a:t>改造供水管网分市进度</a:t>
            </a:r>
            <a:r>
              <a:rPr lang="zh-CN" altLang="en-US"/>
              <a:t>（截至</a:t>
            </a:r>
            <a:r>
              <a:rPr lang="en-US" altLang="zh-CN"/>
              <a:t>7</a:t>
            </a:r>
            <a:r>
              <a:rPr lang="zh-CN" altLang="en-US"/>
              <a:t>月</a:t>
            </a:r>
            <a:r>
              <a:rPr lang="en-US" altLang="zh-CN"/>
              <a:t>31</a:t>
            </a:r>
            <a:r>
              <a:rPr lang="zh-CN" altLang="en-US"/>
              <a:t>日）</a:t>
            </a:r>
            <a:endParaRPr lang="zh-CN"/>
          </a:p>
        </c:rich>
      </c:tx>
      <c:layout/>
      <c:overlay val="false"/>
      <c:spPr>
        <a:noFill/>
        <a:ln>
          <a:noFill/>
        </a:ln>
        <a:effectLst/>
      </c:spPr>
    </c:title>
    <c:autoTitleDeleted val="false"/>
    <c:plotArea>
      <c:layout/>
      <c:barChart>
        <c:barDir val="col"/>
        <c:grouping val="clustered"/>
        <c:varyColors val="false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false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true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Times New Roman" charset="0"/>
                    <a:ea typeface="宋体" charset="-122"/>
                    <a:cs typeface="Times New Roman" charset="0"/>
                  </a:defRPr>
                </a:pPr>
              </a:p>
            </c:txPr>
            <c:dLblPos val="outEnd"/>
            <c:showLegendKey val="false"/>
            <c:showVal val="true"/>
            <c:showCatName val="false"/>
            <c:showSerName val="false"/>
            <c:showPercent val="false"/>
            <c:showBubbleSize val="false"/>
            <c:showLeaderLines val="false"/>
            <c:extLst>
              <c:ext xmlns:c15="http://schemas.microsoft.com/office/drawing/2012/chart" uri="{CE6537A1-D6FC-4f65-9D91-7224C49458BB}">
                <c15:layout/>
                <c15:showLeaderLines val="false"/>
                <c15:leaderLines/>
              </c:ext>
            </c:extLst>
          </c:dLbls>
          <c:cat>
            <c:strRef>
              <c:f>管网!$A$2:$A$12</c:f>
              <c:strCache>
                <c:ptCount val="11"/>
                <c:pt idx="0">
                  <c:v>杭州市</c:v>
                </c:pt>
                <c:pt idx="1">
                  <c:v>宁波市</c:v>
                </c:pt>
                <c:pt idx="2">
                  <c:v>湖州市</c:v>
                </c:pt>
                <c:pt idx="3">
                  <c:v>金华市</c:v>
                </c:pt>
                <c:pt idx="4">
                  <c:v>衢州市</c:v>
                </c:pt>
                <c:pt idx="5">
                  <c:v>台州市</c:v>
                </c:pt>
                <c:pt idx="6">
                  <c:v>丽水市</c:v>
                </c:pt>
                <c:pt idx="7">
                  <c:v>绍兴市</c:v>
                </c:pt>
                <c:pt idx="8">
                  <c:v>温州市</c:v>
                </c:pt>
                <c:pt idx="9">
                  <c:v>嘉兴市</c:v>
                </c:pt>
                <c:pt idx="10">
                  <c:v>舟山市</c:v>
                </c:pt>
              </c:strCache>
            </c:strRef>
          </c:cat>
          <c:val>
            <c:numRef>
              <c:f>管网!$B$2:$B$12</c:f>
              <c:numCache>
                <c:formatCode>0.00%</c:formatCode>
                <c:ptCount val="11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0.9955</c:v>
                </c:pt>
                <c:pt idx="8">
                  <c:v>0.9875</c:v>
                </c:pt>
                <c:pt idx="9">
                  <c:v>0.975</c:v>
                </c:pt>
                <c:pt idx="10">
                  <c:v>0.975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150"/>
        <c:axId val="887985752"/>
        <c:axId val="887986144"/>
      </c:barChart>
      <c:lineChart>
        <c:grouping val="standard"/>
        <c:varyColors val="false"/>
        <c:ser>
          <c:idx val="1"/>
          <c:order val="1"/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delete val="true"/>
          </c:dLbls>
          <c:cat>
            <c:strRef>
              <c:f>管网!$A$2:$A$12</c:f>
              <c:strCache>
                <c:ptCount val="11"/>
                <c:pt idx="0">
                  <c:v>杭州市</c:v>
                </c:pt>
                <c:pt idx="1">
                  <c:v>宁波市</c:v>
                </c:pt>
                <c:pt idx="2">
                  <c:v>湖州市</c:v>
                </c:pt>
                <c:pt idx="3">
                  <c:v>金华市</c:v>
                </c:pt>
                <c:pt idx="4">
                  <c:v>衢州市</c:v>
                </c:pt>
                <c:pt idx="5">
                  <c:v>台州市</c:v>
                </c:pt>
                <c:pt idx="6">
                  <c:v>丽水市</c:v>
                </c:pt>
                <c:pt idx="7">
                  <c:v>绍兴市</c:v>
                </c:pt>
                <c:pt idx="8">
                  <c:v>温州市</c:v>
                </c:pt>
                <c:pt idx="9">
                  <c:v>嘉兴市</c:v>
                </c:pt>
                <c:pt idx="10">
                  <c:v>舟山市</c:v>
                </c:pt>
              </c:strCache>
            </c:strRef>
          </c:cat>
          <c:val>
            <c:numRef>
              <c:f>管网!$C$2:$C$12</c:f>
              <c:numCache>
                <c:formatCode>0.00%</c:formatCode>
                <c:ptCount val="11"/>
                <c:pt idx="0">
                  <c:v>0.9974</c:v>
                </c:pt>
                <c:pt idx="1">
                  <c:v>0.9974</c:v>
                </c:pt>
                <c:pt idx="2">
                  <c:v>0.9974</c:v>
                </c:pt>
                <c:pt idx="3">
                  <c:v>0.9974</c:v>
                </c:pt>
                <c:pt idx="4">
                  <c:v>0.9974</c:v>
                </c:pt>
                <c:pt idx="5">
                  <c:v>0.9974</c:v>
                </c:pt>
                <c:pt idx="6">
                  <c:v>0.9974</c:v>
                </c:pt>
                <c:pt idx="7">
                  <c:v>0.9974</c:v>
                </c:pt>
                <c:pt idx="8">
                  <c:v>0.9974</c:v>
                </c:pt>
                <c:pt idx="9">
                  <c:v>0.9974</c:v>
                </c:pt>
                <c:pt idx="10">
                  <c:v>0.9974</c:v>
                </c:pt>
              </c:numCache>
            </c:numRef>
          </c:val>
          <c:smooth val="false"/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marker val="false"/>
        <c:smooth val="false"/>
        <c:axId val="887985752"/>
        <c:axId val="887986144"/>
      </c:lineChart>
      <c:catAx>
        <c:axId val="887985752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charset="0"/>
                <a:ea typeface="宋体" charset="-122"/>
                <a:cs typeface="Times New Roman" charset="0"/>
              </a:defRPr>
            </a:pPr>
          </a:p>
        </c:txPr>
        <c:crossAx val="887986144"/>
        <c:crosses val="autoZero"/>
        <c:auto val="true"/>
        <c:lblAlgn val="ctr"/>
        <c:lblOffset val="100"/>
        <c:noMultiLvlLbl val="false"/>
      </c:catAx>
      <c:valAx>
        <c:axId val="887986144"/>
        <c:scaling>
          <c:orientation val="minMax"/>
        </c:scaling>
        <c:delete val="false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.00%" sourceLinked="true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charset="0"/>
                <a:ea typeface="宋体" charset="-122"/>
                <a:cs typeface="Times New Roman" charset="0"/>
              </a:defRPr>
            </a:pPr>
          </a:p>
        </c:txPr>
        <c:crossAx val="887985752"/>
        <c:crosses val="autoZero"/>
        <c:crossBetween val="between"/>
        <c:majorUnit val="0.01"/>
      </c:valAx>
      <c:spPr>
        <a:noFill/>
        <a:ln w="25400">
          <a:noFill/>
        </a:ln>
      </c:spPr>
    </c:plotArea>
    <c:plotVisOnly val="true"/>
    <c:dispBlanksAs val="gap"/>
    <c:showDLblsOverMax val="false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 sz="1000">
          <a:latin typeface="Times New Roman" charset="0"/>
          <a:ea typeface="宋体" charset="-122"/>
          <a:cs typeface="Times New Roman" charset="0"/>
        </a:defRPr>
      </a:pPr>
    </a:p>
  </c:txPr>
  <c:externalData r:id="rId1">
    <c:autoUpdate val="false"/>
  </c:externalData>
  <c:userShapes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true"/>
          <a:lstStyle/>
          <a:p>
            <a:pPr>
              <a:defRPr lang="zh-CN" sz="1200" b="1" i="0" u="none" strike="noStrike" kern="1200" baseline="0">
                <a:solidFill>
                  <a:schemeClr val="tx1"/>
                </a:solidFill>
                <a:latin typeface="Times New Roman" charset="0"/>
                <a:ea typeface="+mn-ea"/>
                <a:cs typeface="Times New Roman" charset="0"/>
              </a:defRPr>
            </a:pPr>
            <a:r>
              <a:rPr lang="zh-CN"/>
              <a:t>改造农村供水管网分市完成率</a:t>
            </a:r>
            <a:r>
              <a:rPr lang="zh-CN" altLang="en-US"/>
              <a:t>（截至</a:t>
            </a:r>
            <a:r>
              <a:rPr lang="en-US" altLang="zh-CN"/>
              <a:t>7</a:t>
            </a:r>
            <a:r>
              <a:rPr lang="zh-CN" altLang="en-US"/>
              <a:t>月</a:t>
            </a:r>
            <a:r>
              <a:rPr lang="en-US" altLang="zh-CN"/>
              <a:t>31</a:t>
            </a:r>
            <a:r>
              <a:rPr lang="zh-CN" altLang="en-US"/>
              <a:t>日）</a:t>
            </a:r>
            <a:endParaRPr lang="zh-CN"/>
          </a:p>
        </c:rich>
      </c:tx>
      <c:layout/>
      <c:overlay val="false"/>
      <c:spPr>
        <a:noFill/>
        <a:ln>
          <a:noFill/>
        </a:ln>
        <a:effectLst/>
      </c:spPr>
    </c:title>
    <c:autoTitleDeleted val="false"/>
    <c:plotArea>
      <c:layout/>
      <c:barChart>
        <c:barDir val="col"/>
        <c:grouping val="clustered"/>
        <c:varyColors val="false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false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true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Times New Roman" charset="0"/>
                    <a:ea typeface="+mn-ea"/>
                    <a:cs typeface="Times New Roman" charset="0"/>
                  </a:defRPr>
                </a:pPr>
              </a:p>
            </c:txPr>
            <c:dLblPos val="outEnd"/>
            <c:showLegendKey val="false"/>
            <c:showVal val="true"/>
            <c:showCatName val="false"/>
            <c:showSerName val="false"/>
            <c:showPercent val="false"/>
            <c:showBubbleSize val="false"/>
            <c:showLeaderLines val="false"/>
            <c:extLst>
              <c:ext xmlns:c15="http://schemas.microsoft.com/office/drawing/2012/chart" uri="{CE6537A1-D6FC-4f65-9D91-7224C49458BB}">
                <c15:layout/>
                <c15:showLeaderLines val="false"/>
                <c15:leaderLines/>
              </c:ext>
            </c:extLst>
          </c:dLbls>
          <c:cat>
            <c:strRef>
              <c:f>管网!$A$2:$A$12</c:f>
              <c:strCache>
                <c:ptCount val="11"/>
                <c:pt idx="0">
                  <c:v>绍兴市</c:v>
                </c:pt>
                <c:pt idx="1">
                  <c:v>衢州市</c:v>
                </c:pt>
                <c:pt idx="2">
                  <c:v>台州市</c:v>
                </c:pt>
                <c:pt idx="3">
                  <c:v>丽水市</c:v>
                </c:pt>
                <c:pt idx="4">
                  <c:v>舟山市</c:v>
                </c:pt>
                <c:pt idx="5">
                  <c:v>金华市</c:v>
                </c:pt>
                <c:pt idx="6">
                  <c:v>宁波市</c:v>
                </c:pt>
                <c:pt idx="7">
                  <c:v>杭州市</c:v>
                </c:pt>
                <c:pt idx="8">
                  <c:v>温州市</c:v>
                </c:pt>
                <c:pt idx="9">
                  <c:v>嘉兴市</c:v>
                </c:pt>
                <c:pt idx="10">
                  <c:v>湖州市</c:v>
                </c:pt>
              </c:strCache>
            </c:strRef>
          </c:cat>
          <c:val>
            <c:numRef>
              <c:f>管网!$B$2:$B$12</c:f>
              <c:numCache>
                <c:formatCode>0.00%</c:formatCode>
                <c:ptCount val="11"/>
                <c:pt idx="0">
                  <c:v>1.8027</c:v>
                </c:pt>
                <c:pt idx="1">
                  <c:v>1.3512</c:v>
                </c:pt>
                <c:pt idx="2">
                  <c:v>1.3504</c:v>
                </c:pt>
                <c:pt idx="3">
                  <c:v>1.3503</c:v>
                </c:pt>
                <c:pt idx="4">
                  <c:v>1.2369</c:v>
                </c:pt>
                <c:pt idx="5">
                  <c:v>1.2304</c:v>
                </c:pt>
                <c:pt idx="6">
                  <c:v>1.1801</c:v>
                </c:pt>
                <c:pt idx="7">
                  <c:v>1.1462</c:v>
                </c:pt>
                <c:pt idx="8">
                  <c:v>1.0759</c:v>
                </c:pt>
                <c:pt idx="9">
                  <c:v>1.0131</c:v>
                </c:pt>
                <c:pt idx="10">
                  <c:v>1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150"/>
        <c:axId val="887986928"/>
        <c:axId val="887987320"/>
      </c:barChart>
      <c:lineChart>
        <c:grouping val="standard"/>
        <c:varyColors val="false"/>
        <c:ser>
          <c:idx val="1"/>
          <c:order val="1"/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delete val="true"/>
          </c:dLbls>
          <c:cat>
            <c:strRef>
              <c:f>管网!$A$2:$A$12</c:f>
              <c:strCache>
                <c:ptCount val="11"/>
                <c:pt idx="0">
                  <c:v>绍兴市</c:v>
                </c:pt>
                <c:pt idx="1">
                  <c:v>衢州市</c:v>
                </c:pt>
                <c:pt idx="2">
                  <c:v>台州市</c:v>
                </c:pt>
                <c:pt idx="3">
                  <c:v>丽水市</c:v>
                </c:pt>
                <c:pt idx="4">
                  <c:v>舟山市</c:v>
                </c:pt>
                <c:pt idx="5">
                  <c:v>金华市</c:v>
                </c:pt>
                <c:pt idx="6">
                  <c:v>宁波市</c:v>
                </c:pt>
                <c:pt idx="7">
                  <c:v>杭州市</c:v>
                </c:pt>
                <c:pt idx="8">
                  <c:v>温州市</c:v>
                </c:pt>
                <c:pt idx="9">
                  <c:v>嘉兴市</c:v>
                </c:pt>
                <c:pt idx="10">
                  <c:v>湖州市</c:v>
                </c:pt>
              </c:strCache>
            </c:strRef>
          </c:cat>
          <c:val>
            <c:numRef>
              <c:f>管网!$C$2:$C$12</c:f>
              <c:numCache>
                <c:formatCode>0.00%</c:formatCode>
                <c:ptCount val="11"/>
                <c:pt idx="0">
                  <c:v>1.2609</c:v>
                </c:pt>
                <c:pt idx="1">
                  <c:v>1.2609</c:v>
                </c:pt>
                <c:pt idx="2">
                  <c:v>1.2609</c:v>
                </c:pt>
                <c:pt idx="3">
                  <c:v>1.2609</c:v>
                </c:pt>
                <c:pt idx="4">
                  <c:v>1.2609</c:v>
                </c:pt>
                <c:pt idx="5">
                  <c:v>1.2609</c:v>
                </c:pt>
                <c:pt idx="6">
                  <c:v>1.2609</c:v>
                </c:pt>
                <c:pt idx="7">
                  <c:v>1.2609</c:v>
                </c:pt>
                <c:pt idx="8">
                  <c:v>1.2609</c:v>
                </c:pt>
                <c:pt idx="9">
                  <c:v>1.2609</c:v>
                </c:pt>
                <c:pt idx="10">
                  <c:v>1.2609</c:v>
                </c:pt>
              </c:numCache>
            </c:numRef>
          </c:val>
          <c:smooth val="false"/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marker val="false"/>
        <c:smooth val="false"/>
        <c:axId val="887986928"/>
        <c:axId val="887987320"/>
      </c:lineChart>
      <c:catAx>
        <c:axId val="887986928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charset="0"/>
                <a:ea typeface="+mn-ea"/>
                <a:cs typeface="Times New Roman" charset="0"/>
              </a:defRPr>
            </a:pPr>
          </a:p>
        </c:txPr>
        <c:crossAx val="887987320"/>
        <c:crosses val="autoZero"/>
        <c:auto val="true"/>
        <c:lblAlgn val="ctr"/>
        <c:lblOffset val="100"/>
        <c:noMultiLvlLbl val="false"/>
      </c:catAx>
      <c:valAx>
        <c:axId val="887987320"/>
        <c:scaling>
          <c:orientation val="minMax"/>
          <c:min val="0.5"/>
        </c:scaling>
        <c:delete val="false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.00%" sourceLinked="true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charset="0"/>
                <a:ea typeface="+mn-ea"/>
                <a:cs typeface="Times New Roman" charset="0"/>
              </a:defRPr>
            </a:pPr>
          </a:p>
        </c:txPr>
        <c:crossAx val="887986928"/>
        <c:crosses val="autoZero"/>
        <c:crossBetween val="between"/>
      </c:valAx>
      <c:spPr>
        <a:noFill/>
        <a:ln w="25400">
          <a:noFill/>
        </a:ln>
      </c:spPr>
    </c:plotArea>
    <c:plotVisOnly val="true"/>
    <c:dispBlanksAs val="gap"/>
    <c:showDLblsOverMax val="false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 sz="1000">
          <a:latin typeface="Times New Roman" charset="0"/>
          <a:ea typeface="+mn-ea"/>
          <a:cs typeface="Times New Roman" charset="0"/>
        </a:defRPr>
      </a:pPr>
    </a:p>
  </c:txPr>
  <c:externalData r:id="rId1">
    <c:autoUpdate val="false"/>
  </c:externalData>
  <c:userShapes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true"/>
          <a:lstStyle/>
          <a:p>
            <a:pPr>
              <a:defRPr lang="zh-CN" sz="1200" b="1" i="0" u="none" strike="noStrike" kern="1200" baseline="0">
                <a:solidFill>
                  <a:schemeClr val="tx1"/>
                </a:solidFill>
                <a:latin typeface="宋体" charset="-122"/>
                <a:ea typeface="宋体" charset="-122"/>
                <a:cs typeface="Times New Roman" charset="0"/>
              </a:defRPr>
            </a:pPr>
            <a:r>
              <a:rPr lang="zh-CN">
                <a:latin typeface="宋体" charset="-122"/>
                <a:ea typeface="宋体" charset="-122"/>
              </a:rPr>
              <a:t>中小河流治理分市进度</a:t>
            </a:r>
            <a:r>
              <a:rPr lang="zh-CN" altLang="en-US">
                <a:latin typeface="宋体" charset="-122"/>
                <a:ea typeface="宋体" charset="-122"/>
              </a:rPr>
              <a:t>（截至</a:t>
            </a:r>
            <a:r>
              <a:rPr lang="en-US" altLang="zh-CN">
                <a:latin typeface="宋体" charset="-122"/>
                <a:ea typeface="宋体" charset="-122"/>
              </a:rPr>
              <a:t>7</a:t>
            </a:r>
            <a:r>
              <a:rPr lang="zh-CN" altLang="en-US">
                <a:latin typeface="宋体" charset="-122"/>
                <a:ea typeface="宋体" charset="-122"/>
              </a:rPr>
              <a:t>月</a:t>
            </a:r>
            <a:r>
              <a:rPr lang="en-US" altLang="zh-CN">
                <a:latin typeface="宋体" charset="-122"/>
                <a:ea typeface="宋体" charset="-122"/>
              </a:rPr>
              <a:t>31</a:t>
            </a:r>
            <a:r>
              <a:rPr lang="zh-CN" altLang="en-US">
                <a:latin typeface="宋体" charset="-122"/>
                <a:ea typeface="宋体" charset="-122"/>
              </a:rPr>
              <a:t>日）</a:t>
            </a:r>
            <a:endParaRPr lang="zh-CN">
              <a:latin typeface="宋体" charset="-122"/>
              <a:ea typeface="宋体" charset="-122"/>
            </a:endParaRPr>
          </a:p>
        </c:rich>
      </c:tx>
      <c:layout/>
      <c:overlay val="false"/>
      <c:spPr>
        <a:noFill/>
        <a:ln>
          <a:noFill/>
        </a:ln>
        <a:effectLst/>
      </c:spPr>
    </c:title>
    <c:autoTitleDeleted val="false"/>
    <c:plotArea>
      <c:layout/>
      <c:barChart>
        <c:barDir val="col"/>
        <c:grouping val="clustered"/>
        <c:varyColors val="false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false"/>
          <c:dPt>
            <c:idx val="7"/>
            <c:invertIfNegative val="false"/>
            <c:bubble3D val="false"/>
            <c:spPr>
              <a:solidFill>
                <a:srgbClr val="FFC000"/>
              </a:solidFill>
              <a:ln>
                <a:noFill/>
              </a:ln>
              <a:effectLst/>
            </c:spPr>
          </c:dPt>
          <c:dPt>
            <c:idx val="8"/>
            <c:invertIfNegative val="false"/>
            <c:bubble3D val="false"/>
            <c:spPr>
              <a:solidFill>
                <a:srgbClr val="FFC000"/>
              </a:solidFill>
              <a:ln>
                <a:noFill/>
              </a:ln>
              <a:effectLst/>
            </c:spPr>
          </c:dPt>
          <c:dPt>
            <c:idx val="9"/>
            <c:invertIfNegative val="false"/>
            <c:bubble3D val="false"/>
            <c:spPr>
              <a:solidFill>
                <a:srgbClr val="FFC000"/>
              </a:solidFill>
              <a:ln>
                <a:noFill/>
              </a:ln>
              <a:effectLst/>
            </c:spPr>
          </c:dPt>
          <c:dPt>
            <c:idx val="10"/>
            <c:invertIfNegative val="false"/>
            <c:bubble3D val="false"/>
            <c:spPr>
              <a:solidFill>
                <a:srgbClr val="FFC000"/>
              </a:solidFill>
              <a:ln>
                <a:noFill/>
              </a:ln>
              <a:effectLst/>
            </c:spPr>
          </c:dPt>
          <c:dLbls>
            <c:dLbl>
              <c:idx val="8"/>
              <c:layout>
                <c:manualLayout>
                  <c:x val="-0.00449337227589306"/>
                  <c:y val="0.0280112044817927"/>
                </c:manualLayout>
              </c:layout>
              <c:dLblPos val="outEnd"/>
              <c:showLegendKey val="false"/>
              <c:showVal val="true"/>
              <c:showCatName val="false"/>
              <c:showSerName val="false"/>
              <c:showPercent val="false"/>
              <c:showBubbleSize val="false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0"/>
                  <c:y val="0.0280112044817927"/>
                </c:manualLayout>
              </c:layout>
              <c:dLblPos val="outEnd"/>
              <c:showLegendKey val="false"/>
              <c:showVal val="true"/>
              <c:showCatName val="false"/>
              <c:showSerName val="false"/>
              <c:showPercent val="false"/>
              <c:showBubbleSize val="false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true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Times New Roman" charset="0"/>
                    <a:ea typeface="+mn-ea"/>
                    <a:cs typeface="Times New Roman" charset="0"/>
                  </a:defRPr>
                </a:pPr>
              </a:p>
            </c:txPr>
            <c:dLblPos val="outEnd"/>
            <c:showLegendKey val="false"/>
            <c:showVal val="true"/>
            <c:showCatName val="false"/>
            <c:showSerName val="false"/>
            <c:showPercent val="false"/>
            <c:showBubbleSize val="false"/>
            <c:showLeaderLines val="false"/>
            <c:extLst>
              <c:ext xmlns:c15="http://schemas.microsoft.com/office/drawing/2012/chart" uri="{CE6537A1-D6FC-4f65-9D91-7224C49458BB}">
                <c15:layout/>
                <c15:showLeaderLines val="false"/>
                <c15:leaderLines/>
              </c:ext>
            </c:extLst>
          </c:dLbls>
          <c:cat>
            <c:strRef>
              <c:f>河流!$A$2:$A$12</c:f>
              <c:strCache>
                <c:ptCount val="11"/>
                <c:pt idx="0">
                  <c:v>丽水市</c:v>
                </c:pt>
                <c:pt idx="1">
                  <c:v>嘉兴市</c:v>
                </c:pt>
                <c:pt idx="2">
                  <c:v>宁波市</c:v>
                </c:pt>
                <c:pt idx="3">
                  <c:v>绍兴市</c:v>
                </c:pt>
                <c:pt idx="4">
                  <c:v>衢州市</c:v>
                </c:pt>
                <c:pt idx="5">
                  <c:v>台州市</c:v>
                </c:pt>
                <c:pt idx="6">
                  <c:v>金华市</c:v>
                </c:pt>
                <c:pt idx="7">
                  <c:v>温州市</c:v>
                </c:pt>
                <c:pt idx="8">
                  <c:v>湖州市</c:v>
                </c:pt>
                <c:pt idx="9">
                  <c:v>杭州市</c:v>
                </c:pt>
                <c:pt idx="10">
                  <c:v>舟山市</c:v>
                </c:pt>
              </c:strCache>
            </c:strRef>
          </c:cat>
          <c:val>
            <c:numRef>
              <c:f>河流!$B$2:$B$12</c:f>
              <c:numCache>
                <c:formatCode>0.00%</c:formatCode>
                <c:ptCount val="11"/>
                <c:pt idx="0">
                  <c:v>0.98</c:v>
                </c:pt>
                <c:pt idx="1">
                  <c:v>0.9526</c:v>
                </c:pt>
                <c:pt idx="2">
                  <c:v>0.9524</c:v>
                </c:pt>
                <c:pt idx="3">
                  <c:v>0.95</c:v>
                </c:pt>
                <c:pt idx="4">
                  <c:v>0.95</c:v>
                </c:pt>
                <c:pt idx="5">
                  <c:v>0.95</c:v>
                </c:pt>
                <c:pt idx="6">
                  <c:v>0.9455</c:v>
                </c:pt>
                <c:pt idx="7">
                  <c:v>0.9</c:v>
                </c:pt>
                <c:pt idx="8">
                  <c:v>0.875</c:v>
                </c:pt>
                <c:pt idx="9">
                  <c:v>0.8571</c:v>
                </c:pt>
                <c:pt idx="10">
                  <c:v>0.8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150"/>
        <c:axId val="887988104"/>
        <c:axId val="887988496"/>
      </c:barChart>
      <c:lineChart>
        <c:grouping val="standard"/>
        <c:varyColors val="false"/>
        <c:ser>
          <c:idx val="1"/>
          <c:order val="1"/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delete val="true"/>
          </c:dLbls>
          <c:cat>
            <c:strRef>
              <c:f>河流!$A$2:$A$12</c:f>
              <c:strCache>
                <c:ptCount val="11"/>
                <c:pt idx="0">
                  <c:v>丽水市</c:v>
                </c:pt>
                <c:pt idx="1">
                  <c:v>嘉兴市</c:v>
                </c:pt>
                <c:pt idx="2">
                  <c:v>宁波市</c:v>
                </c:pt>
                <c:pt idx="3">
                  <c:v>绍兴市</c:v>
                </c:pt>
                <c:pt idx="4">
                  <c:v>衢州市</c:v>
                </c:pt>
                <c:pt idx="5">
                  <c:v>台州市</c:v>
                </c:pt>
                <c:pt idx="6">
                  <c:v>金华市</c:v>
                </c:pt>
                <c:pt idx="7">
                  <c:v>温州市</c:v>
                </c:pt>
                <c:pt idx="8">
                  <c:v>湖州市</c:v>
                </c:pt>
                <c:pt idx="9">
                  <c:v>杭州市</c:v>
                </c:pt>
                <c:pt idx="10">
                  <c:v>舟山市</c:v>
                </c:pt>
              </c:strCache>
            </c:strRef>
          </c:cat>
          <c:val>
            <c:numRef>
              <c:f>河流!$C$2:$C$12</c:f>
              <c:numCache>
                <c:formatCode>0.00%</c:formatCode>
                <c:ptCount val="11"/>
                <c:pt idx="0">
                  <c:v>0.9315</c:v>
                </c:pt>
                <c:pt idx="1">
                  <c:v>0.9315</c:v>
                </c:pt>
                <c:pt idx="2">
                  <c:v>0.9315</c:v>
                </c:pt>
                <c:pt idx="3">
                  <c:v>0.9315</c:v>
                </c:pt>
                <c:pt idx="4">
                  <c:v>0.9315</c:v>
                </c:pt>
                <c:pt idx="5">
                  <c:v>0.9315</c:v>
                </c:pt>
                <c:pt idx="6">
                  <c:v>0.9315</c:v>
                </c:pt>
                <c:pt idx="7">
                  <c:v>0.9315</c:v>
                </c:pt>
                <c:pt idx="8">
                  <c:v>0.9315</c:v>
                </c:pt>
                <c:pt idx="9">
                  <c:v>0.9315</c:v>
                </c:pt>
                <c:pt idx="10">
                  <c:v>0.9315</c:v>
                </c:pt>
              </c:numCache>
            </c:numRef>
          </c:val>
          <c:smooth val="false"/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marker val="false"/>
        <c:smooth val="false"/>
        <c:axId val="887988104"/>
        <c:axId val="887988496"/>
      </c:lineChart>
      <c:catAx>
        <c:axId val="887988104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宋体" charset="-122"/>
                <a:ea typeface="宋体" charset="-122"/>
                <a:cs typeface="Times New Roman" charset="0"/>
              </a:defRPr>
            </a:pPr>
          </a:p>
        </c:txPr>
        <c:crossAx val="887988496"/>
        <c:crosses val="autoZero"/>
        <c:auto val="true"/>
        <c:lblAlgn val="ctr"/>
        <c:lblOffset val="100"/>
        <c:noMultiLvlLbl val="false"/>
      </c:catAx>
      <c:valAx>
        <c:axId val="887988496"/>
        <c:scaling>
          <c:orientation val="minMax"/>
        </c:scaling>
        <c:delete val="false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.00%" sourceLinked="true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charset="0"/>
                <a:ea typeface="+mn-ea"/>
                <a:cs typeface="Times New Roman" charset="0"/>
              </a:defRPr>
            </a:pPr>
          </a:p>
        </c:txPr>
        <c:crossAx val="887988104"/>
        <c:crosses val="autoZero"/>
        <c:crossBetween val="between"/>
      </c:valAx>
      <c:spPr>
        <a:noFill/>
        <a:ln w="25400">
          <a:noFill/>
        </a:ln>
      </c:spPr>
    </c:plotArea>
    <c:plotVisOnly val="true"/>
    <c:dispBlanksAs val="gap"/>
    <c:showDLblsOverMax val="false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 sz="1000">
          <a:latin typeface="Times New Roman" charset="0"/>
          <a:cs typeface="Times New Roman" charset="0"/>
        </a:defRPr>
      </a:pPr>
    </a:p>
  </c:txPr>
  <c:externalData r:id="rId1">
    <c:autoUpdate val="false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true"/>
          <a:lstStyle/>
          <a:p>
            <a:pPr>
              <a:defRPr lang="zh-CN" sz="1200" b="1" i="0" u="none" strike="noStrike" kern="1200" baseline="0">
                <a:solidFill>
                  <a:schemeClr val="tx1"/>
                </a:solidFill>
                <a:latin typeface="Times New Roman" charset="0"/>
                <a:ea typeface="+mn-ea"/>
                <a:cs typeface="Times New Roman" charset="0"/>
              </a:defRPr>
            </a:pPr>
            <a:r>
              <a:rPr lang="zh-CN"/>
              <a:t>中小河流治理分市完成率</a:t>
            </a:r>
            <a:r>
              <a:rPr lang="zh-CN" altLang="en-US"/>
              <a:t>（截至</a:t>
            </a:r>
            <a:r>
              <a:rPr lang="en-US" altLang="zh-CN"/>
              <a:t>7</a:t>
            </a:r>
            <a:r>
              <a:rPr lang="zh-CN" altLang="en-US"/>
              <a:t>月</a:t>
            </a:r>
            <a:r>
              <a:rPr lang="en-US" altLang="zh-CN"/>
              <a:t>31</a:t>
            </a:r>
            <a:r>
              <a:rPr lang="zh-CN" altLang="en-US"/>
              <a:t>日）</a:t>
            </a:r>
            <a:endParaRPr lang="zh-CN"/>
          </a:p>
        </c:rich>
      </c:tx>
      <c:layout/>
      <c:overlay val="false"/>
      <c:spPr>
        <a:noFill/>
        <a:ln>
          <a:noFill/>
        </a:ln>
        <a:effectLst/>
      </c:spPr>
    </c:title>
    <c:autoTitleDeleted val="false"/>
    <c:plotArea>
      <c:layout/>
      <c:barChart>
        <c:barDir val="col"/>
        <c:grouping val="clustered"/>
        <c:varyColors val="false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false"/>
          <c:dPt>
            <c:idx val="8"/>
            <c:invertIfNegative val="false"/>
            <c:bubble3D val="false"/>
            <c:spPr>
              <a:solidFill>
                <a:srgbClr val="FFC000"/>
              </a:solidFill>
              <a:ln>
                <a:noFill/>
              </a:ln>
              <a:effectLst/>
            </c:spPr>
          </c:dPt>
          <c:dPt>
            <c:idx val="9"/>
            <c:invertIfNegative val="false"/>
            <c:bubble3D val="false"/>
            <c:spPr>
              <a:solidFill>
                <a:srgbClr val="FFC000"/>
              </a:solidFill>
              <a:ln>
                <a:noFill/>
              </a:ln>
              <a:effectLst/>
            </c:spPr>
          </c:dPt>
          <c:dPt>
            <c:idx val="10"/>
            <c:invertIfNegative val="false"/>
            <c:bubble3D val="false"/>
            <c:spPr>
              <a:solidFill>
                <a:srgbClr val="FFC000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true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Times New Roman" charset="0"/>
                    <a:ea typeface="+mn-ea"/>
                    <a:cs typeface="Times New Roman" charset="0"/>
                  </a:defRPr>
                </a:pPr>
              </a:p>
            </c:txPr>
            <c:dLblPos val="outEnd"/>
            <c:showLegendKey val="false"/>
            <c:showVal val="true"/>
            <c:showCatName val="false"/>
            <c:showSerName val="false"/>
            <c:showPercent val="false"/>
            <c:showBubbleSize val="false"/>
            <c:showLeaderLines val="false"/>
            <c:extLst>
              <c:ext xmlns:c15="http://schemas.microsoft.com/office/drawing/2012/chart" uri="{CE6537A1-D6FC-4f65-9D91-7224C49458BB}">
                <c15:layout/>
                <c15:showLeaderLines val="false"/>
                <c15:leaderLines/>
              </c:ext>
            </c:extLst>
          </c:dLbls>
          <c:cat>
            <c:strRef>
              <c:f>河流!$A$2:$A$12</c:f>
              <c:strCache>
                <c:ptCount val="11"/>
                <c:pt idx="0">
                  <c:v>嘉兴市</c:v>
                </c:pt>
                <c:pt idx="1">
                  <c:v>台州市</c:v>
                </c:pt>
                <c:pt idx="2">
                  <c:v>丽水市</c:v>
                </c:pt>
                <c:pt idx="3">
                  <c:v>宁波市</c:v>
                </c:pt>
                <c:pt idx="4">
                  <c:v>绍兴市</c:v>
                </c:pt>
                <c:pt idx="5">
                  <c:v>金华市</c:v>
                </c:pt>
                <c:pt idx="6">
                  <c:v>衢州市</c:v>
                </c:pt>
                <c:pt idx="7">
                  <c:v>温州市</c:v>
                </c:pt>
                <c:pt idx="8">
                  <c:v>湖州市</c:v>
                </c:pt>
                <c:pt idx="9">
                  <c:v>杭州市</c:v>
                </c:pt>
                <c:pt idx="10">
                  <c:v>舟山市</c:v>
                </c:pt>
              </c:strCache>
            </c:strRef>
          </c:cat>
          <c:val>
            <c:numRef>
              <c:f>河流!$B$2:$B$12</c:f>
              <c:numCache>
                <c:formatCode>0.00%</c:formatCode>
                <c:ptCount val="11"/>
                <c:pt idx="0">
                  <c:v>1.158</c:v>
                </c:pt>
                <c:pt idx="1">
                  <c:v>1.1359</c:v>
                </c:pt>
                <c:pt idx="2">
                  <c:v>1.1254</c:v>
                </c:pt>
                <c:pt idx="3">
                  <c:v>1.1016</c:v>
                </c:pt>
                <c:pt idx="4">
                  <c:v>1.095</c:v>
                </c:pt>
                <c:pt idx="5">
                  <c:v>1.0038</c:v>
                </c:pt>
                <c:pt idx="6">
                  <c:v>0.9336</c:v>
                </c:pt>
                <c:pt idx="7">
                  <c:v>0.9148</c:v>
                </c:pt>
                <c:pt idx="8">
                  <c:v>0.7982</c:v>
                </c:pt>
                <c:pt idx="9">
                  <c:v>0.3677</c:v>
                </c:pt>
                <c:pt idx="10">
                  <c:v>0.15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150"/>
        <c:axId val="887989280"/>
        <c:axId val="887989672"/>
      </c:barChart>
      <c:lineChart>
        <c:grouping val="standard"/>
        <c:varyColors val="false"/>
        <c:ser>
          <c:idx val="1"/>
          <c:order val="1"/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delete val="true"/>
          </c:dLbls>
          <c:cat>
            <c:strRef>
              <c:f>河流!$A$2:$A$12</c:f>
              <c:strCache>
                <c:ptCount val="11"/>
                <c:pt idx="0">
                  <c:v>嘉兴市</c:v>
                </c:pt>
                <c:pt idx="1">
                  <c:v>台州市</c:v>
                </c:pt>
                <c:pt idx="2">
                  <c:v>丽水市</c:v>
                </c:pt>
                <c:pt idx="3">
                  <c:v>宁波市</c:v>
                </c:pt>
                <c:pt idx="4">
                  <c:v>绍兴市</c:v>
                </c:pt>
                <c:pt idx="5">
                  <c:v>金华市</c:v>
                </c:pt>
                <c:pt idx="6">
                  <c:v>衢州市</c:v>
                </c:pt>
                <c:pt idx="7">
                  <c:v>温州市</c:v>
                </c:pt>
                <c:pt idx="8">
                  <c:v>湖州市</c:v>
                </c:pt>
                <c:pt idx="9">
                  <c:v>杭州市</c:v>
                </c:pt>
                <c:pt idx="10">
                  <c:v>舟山市</c:v>
                </c:pt>
              </c:strCache>
            </c:strRef>
          </c:cat>
          <c:val>
            <c:numRef>
              <c:f>河流!$C$2:$C$12</c:f>
              <c:numCache>
                <c:formatCode>0.00%</c:formatCode>
                <c:ptCount val="11"/>
                <c:pt idx="0">
                  <c:v>0.8669</c:v>
                </c:pt>
                <c:pt idx="1">
                  <c:v>0.8669</c:v>
                </c:pt>
                <c:pt idx="2">
                  <c:v>0.8669</c:v>
                </c:pt>
                <c:pt idx="3">
                  <c:v>0.8669</c:v>
                </c:pt>
                <c:pt idx="4">
                  <c:v>0.8669</c:v>
                </c:pt>
                <c:pt idx="5">
                  <c:v>0.8669</c:v>
                </c:pt>
                <c:pt idx="6">
                  <c:v>0.8669</c:v>
                </c:pt>
                <c:pt idx="7">
                  <c:v>0.8669</c:v>
                </c:pt>
                <c:pt idx="8">
                  <c:v>0.8669</c:v>
                </c:pt>
                <c:pt idx="9">
                  <c:v>0.8669</c:v>
                </c:pt>
                <c:pt idx="10">
                  <c:v>0.8669</c:v>
                </c:pt>
              </c:numCache>
            </c:numRef>
          </c:val>
          <c:smooth val="false"/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marker val="false"/>
        <c:smooth val="false"/>
        <c:axId val="887989280"/>
        <c:axId val="887989672"/>
      </c:lineChart>
      <c:catAx>
        <c:axId val="887989280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charset="0"/>
                <a:ea typeface="+mn-ea"/>
                <a:cs typeface="Times New Roman" charset="0"/>
              </a:defRPr>
            </a:pPr>
          </a:p>
        </c:txPr>
        <c:crossAx val="887989672"/>
        <c:crosses val="autoZero"/>
        <c:auto val="true"/>
        <c:lblAlgn val="ctr"/>
        <c:lblOffset val="100"/>
        <c:noMultiLvlLbl val="false"/>
      </c:catAx>
      <c:valAx>
        <c:axId val="887989672"/>
        <c:scaling>
          <c:orientation val="minMax"/>
        </c:scaling>
        <c:delete val="false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.00%" sourceLinked="true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charset="0"/>
                <a:ea typeface="+mn-ea"/>
                <a:cs typeface="Times New Roman" charset="0"/>
              </a:defRPr>
            </a:pPr>
          </a:p>
        </c:txPr>
        <c:crossAx val="887989280"/>
        <c:crosses val="autoZero"/>
        <c:crossBetween val="between"/>
      </c:valAx>
      <c:spPr>
        <a:noFill/>
        <a:ln w="25400">
          <a:noFill/>
        </a:ln>
      </c:spPr>
    </c:plotArea>
    <c:plotVisOnly val="true"/>
    <c:dispBlanksAs val="gap"/>
    <c:showDLblsOverMax val="false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 sz="1000">
          <a:latin typeface="Times New Roman" charset="0"/>
          <a:ea typeface="+mn-ea"/>
          <a:cs typeface="Times New Roman" charset="0"/>
        </a:defRPr>
      </a:pPr>
    </a:p>
  </c:txPr>
  <c:externalData r:id="rId1">
    <c:autoUpdate val="false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true"/>
          <a:lstStyle/>
          <a:p>
            <a:pPr>
              <a:defRPr lang="zh-CN"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charset="0"/>
                <a:ea typeface="宋体" charset="-122"/>
                <a:cs typeface="Times New Roman" charset="0"/>
              </a:defRPr>
            </a:pPr>
            <a:r>
              <a:rPr lang="zh-CN" sz="1200" b="1">
                <a:latin typeface="Times New Roman" charset="0"/>
                <a:ea typeface="宋体" charset="-122"/>
                <a:cs typeface="Times New Roman" charset="0"/>
              </a:rPr>
              <a:t>水利民生实事分项完成率（截至</a:t>
            </a:r>
            <a:r>
              <a:rPr lang="en-US" sz="1200" b="1">
                <a:latin typeface="Times New Roman" charset="0"/>
                <a:ea typeface="宋体" charset="-122"/>
                <a:cs typeface="Times New Roman" charset="0"/>
              </a:rPr>
              <a:t>7</a:t>
            </a:r>
            <a:r>
              <a:rPr lang="zh-CN" sz="1200" b="1">
                <a:latin typeface="Times New Roman" charset="0"/>
                <a:ea typeface="宋体" charset="-122"/>
                <a:cs typeface="Times New Roman" charset="0"/>
              </a:rPr>
              <a:t>月</a:t>
            </a:r>
            <a:r>
              <a:rPr lang="en-US" sz="1200" b="1">
                <a:latin typeface="Times New Roman" charset="0"/>
                <a:ea typeface="宋体" charset="-122"/>
                <a:cs typeface="Times New Roman" charset="0"/>
              </a:rPr>
              <a:t>31</a:t>
            </a:r>
            <a:r>
              <a:rPr lang="zh-CN" sz="1200" b="1">
                <a:latin typeface="Times New Roman" charset="0"/>
                <a:ea typeface="宋体" charset="-122"/>
                <a:cs typeface="Times New Roman" charset="0"/>
              </a:rPr>
              <a:t>日）</a:t>
            </a:r>
            <a:endParaRPr lang="zh-CN" sz="1200" b="1">
              <a:latin typeface="Times New Roman" charset="0"/>
              <a:ea typeface="宋体" charset="-122"/>
              <a:cs typeface="Times New Roman" charset="0"/>
            </a:endParaRPr>
          </a:p>
        </c:rich>
      </c:tx>
      <c:layout/>
      <c:overlay val="false"/>
      <c:spPr>
        <a:noFill/>
        <a:ln>
          <a:noFill/>
        </a:ln>
        <a:effectLst/>
      </c:spPr>
    </c:title>
    <c:autoTitleDeleted val="false"/>
    <c:plotArea>
      <c:layout/>
      <c:barChart>
        <c:barDir val="col"/>
        <c:grouping val="clustered"/>
        <c:varyColors val="false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false"/>
          <c:dPt>
            <c:idx val="3"/>
            <c:invertIfNegative val="false"/>
            <c:bubble3D val="false"/>
            <c:spPr>
              <a:solidFill>
                <a:schemeClr val="accent4"/>
              </a:solidFill>
              <a:ln>
                <a:noFill/>
              </a:ln>
              <a:effectLst/>
            </c:spPr>
          </c:dPt>
          <c:dPt>
            <c:idx val="4"/>
            <c:invertIfNegative val="false"/>
            <c:bubble3D val="false"/>
            <c:spPr>
              <a:solidFill>
                <a:schemeClr val="accent4"/>
              </a:solidFill>
              <a:ln>
                <a:noFill/>
              </a:ln>
              <a:effectLst/>
            </c:spPr>
          </c:dPt>
          <c:dPt>
            <c:idx val="5"/>
            <c:invertIfNegative val="false"/>
            <c:bubble3D val="false"/>
            <c:spPr>
              <a:solidFill>
                <a:srgbClr val="FFC000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true">
                <a:spAutoFit/>
              </a:bodyPr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charset="0"/>
                    <a:ea typeface="+mn-ea"/>
                    <a:cs typeface="Times New Roman" charset="0"/>
                  </a:defRPr>
                </a:pPr>
              </a:p>
            </c:txPr>
            <c:dLblPos val="outEnd"/>
            <c:showLegendKey val="false"/>
            <c:showVal val="true"/>
            <c:showCatName val="false"/>
            <c:showSerName val="false"/>
            <c:showPercent val="false"/>
            <c:showBubbleSize val="false"/>
            <c:showLeaderLines val="false"/>
            <c:extLst>
              <c:ext xmlns:c15="http://schemas.microsoft.com/office/drawing/2012/chart" uri="{CE6537A1-D6FC-4f65-9D91-7224C49458BB}">
                <c15:layout/>
                <c15:showLeaderLines val="true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分项!$A$2:$A$7</c:f>
              <c:strCache>
                <c:ptCount val="6"/>
                <c:pt idx="0">
                  <c:v>改造供水管网</c:v>
                </c:pt>
                <c:pt idx="1">
                  <c:v>提升灌溉设施</c:v>
                </c:pt>
                <c:pt idx="2">
                  <c:v>中小河流治理</c:v>
                </c:pt>
                <c:pt idx="3">
                  <c:v>水库除险加固</c:v>
                </c:pt>
                <c:pt idx="4">
                  <c:v>病险山塘整治</c:v>
                </c:pt>
                <c:pt idx="5">
                  <c:v>提标加固海塘</c:v>
                </c:pt>
              </c:strCache>
            </c:strRef>
          </c:cat>
          <c:val>
            <c:numRef>
              <c:f>分项!$B$2:$B$7</c:f>
              <c:numCache>
                <c:formatCode>0.00%</c:formatCode>
                <c:ptCount val="6"/>
                <c:pt idx="0">
                  <c:v>1.2609</c:v>
                </c:pt>
                <c:pt idx="1">
                  <c:v>1.1253</c:v>
                </c:pt>
                <c:pt idx="2">
                  <c:v>0.8669</c:v>
                </c:pt>
                <c:pt idx="3">
                  <c:v>0.63</c:v>
                </c:pt>
                <c:pt idx="4">
                  <c:v>0.5978</c:v>
                </c:pt>
                <c:pt idx="5">
                  <c:v>0.4403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150"/>
        <c:axId val="881263264"/>
        <c:axId val="882785848"/>
      </c:barChart>
      <c:lineChart>
        <c:grouping val="standard"/>
        <c:varyColors val="false"/>
        <c:ser>
          <c:idx val="1"/>
          <c:order val="1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elete val="true"/>
          </c:dLbls>
          <c:cat>
            <c:strRef>
              <c:f>分项!$A$2:$A$7</c:f>
              <c:strCache>
                <c:ptCount val="6"/>
                <c:pt idx="0">
                  <c:v>改造供水管网</c:v>
                </c:pt>
                <c:pt idx="1">
                  <c:v>提升灌溉设施</c:v>
                </c:pt>
                <c:pt idx="2">
                  <c:v>中小河流治理</c:v>
                </c:pt>
                <c:pt idx="3">
                  <c:v>水库除险加固</c:v>
                </c:pt>
                <c:pt idx="4">
                  <c:v>病险山塘整治</c:v>
                </c:pt>
                <c:pt idx="5">
                  <c:v>提标加固海塘</c:v>
                </c:pt>
              </c:strCache>
            </c:strRef>
          </c:cat>
          <c:val>
            <c:numRef>
              <c:f>分项!$C$2:$C$7</c:f>
              <c:numCache>
                <c:formatCode>0.00%</c:formatCode>
                <c:ptCount val="6"/>
                <c:pt idx="0">
                  <c:v>0.8202</c:v>
                </c:pt>
                <c:pt idx="1">
                  <c:v>0.8202</c:v>
                </c:pt>
                <c:pt idx="2">
                  <c:v>0.8202</c:v>
                </c:pt>
                <c:pt idx="3">
                  <c:v>0.8202</c:v>
                </c:pt>
                <c:pt idx="4">
                  <c:v>0.8202</c:v>
                </c:pt>
                <c:pt idx="5">
                  <c:v>0.8202</c:v>
                </c:pt>
              </c:numCache>
            </c:numRef>
          </c:val>
          <c:smooth val="false"/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marker val="false"/>
        <c:smooth val="false"/>
        <c:axId val="881263264"/>
        <c:axId val="882785848"/>
      </c:lineChart>
      <c:catAx>
        <c:axId val="881263264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charset="0"/>
                <a:ea typeface="+mn-ea"/>
                <a:cs typeface="Times New Roman" charset="0"/>
              </a:defRPr>
            </a:pPr>
          </a:p>
        </c:txPr>
        <c:crossAx val="882785848"/>
        <c:crosses val="autoZero"/>
        <c:auto val="true"/>
        <c:lblAlgn val="ctr"/>
        <c:lblOffset val="100"/>
        <c:noMultiLvlLbl val="false"/>
      </c:catAx>
      <c:valAx>
        <c:axId val="882785848"/>
        <c:scaling>
          <c:orientation val="minMax"/>
        </c:scaling>
        <c:delete val="false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true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charset="0"/>
                <a:ea typeface="+mn-ea"/>
                <a:cs typeface="Times New Roman" charset="0"/>
              </a:defRPr>
            </a:pPr>
          </a:p>
        </c:txPr>
        <c:crossAx val="881263264"/>
        <c:crosses val="autoZero"/>
        <c:crossBetween val="between"/>
      </c:valAx>
      <c:spPr>
        <a:noFill/>
        <a:ln>
          <a:noFill/>
        </a:ln>
        <a:effectLst/>
      </c:spPr>
    </c:plotArea>
    <c:plotVisOnly val="true"/>
    <c:dispBlanksAs val="gap"/>
    <c:showDLblsOverMax val="false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 sz="1000">
          <a:latin typeface="Times New Roman" charset="0"/>
          <a:ea typeface="+mn-ea"/>
          <a:cs typeface="Times New Roman" charset="0"/>
        </a:defRPr>
      </a:pPr>
    </a:p>
  </c:txPr>
  <c:externalData r:id="rId1">
    <c:autoUpdate val="false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true"/>
          <a:lstStyle/>
          <a:p>
            <a:pPr>
              <a:defRPr lang="zh-CN" sz="1200" b="1" i="0" u="none" strike="noStrike" kern="1200" baseline="0">
                <a:solidFill>
                  <a:schemeClr val="tx1"/>
                </a:solidFill>
                <a:latin typeface="Times New Roman" charset="0"/>
                <a:ea typeface="宋体" charset="-122"/>
                <a:cs typeface="Times New Roman" charset="0"/>
              </a:defRPr>
            </a:pPr>
            <a:r>
              <a:rPr lang="zh-CN"/>
              <a:t>水利民生实事分市进度（截至</a:t>
            </a:r>
            <a:r>
              <a:rPr lang="en-US"/>
              <a:t>7</a:t>
            </a:r>
            <a:r>
              <a:rPr lang="zh-CN"/>
              <a:t>月</a:t>
            </a:r>
            <a:r>
              <a:rPr lang="en-US"/>
              <a:t>31</a:t>
            </a:r>
            <a:r>
              <a:rPr lang="zh-CN"/>
              <a:t>日）</a:t>
            </a:r>
            <a:endParaRPr lang="zh-CN"/>
          </a:p>
        </c:rich>
      </c:tx>
      <c:layout/>
      <c:overlay val="false"/>
      <c:spPr>
        <a:noFill/>
        <a:ln w="25400">
          <a:noFill/>
        </a:ln>
      </c:spPr>
    </c:title>
    <c:autoTitleDeleted val="false"/>
    <c:plotArea>
      <c:layout/>
      <c:barChart>
        <c:barDir val="col"/>
        <c:grouping val="clustered"/>
        <c:varyColors val="false"/>
        <c:ser>
          <c:idx val="0"/>
          <c:order val="0"/>
          <c:spPr>
            <a:solidFill>
              <a:srgbClr val="5B9BD5"/>
            </a:solidFill>
            <a:ln w="25400">
              <a:noFill/>
            </a:ln>
          </c:spPr>
          <c:invertIfNegative val="false"/>
          <c:dLbls>
            <c:dLbl>
              <c:idx val="8"/>
              <c:layout>
                <c:manualLayout>
                  <c:x val="-8.23775400923334e-17"/>
                  <c:y val="0.0298983091043666"/>
                </c:manualLayout>
              </c:layout>
              <c:dLblPos val="outEnd"/>
              <c:showLegendKey val="false"/>
              <c:showVal val="true"/>
              <c:showCatName val="false"/>
              <c:showSerName val="false"/>
              <c:showPercent val="false"/>
              <c:showBubbleSize val="false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0"/>
                  <c:y val="0.0291474374544571"/>
                </c:manualLayout>
              </c:layout>
              <c:dLblPos val="outEnd"/>
              <c:showLegendKey val="false"/>
              <c:showVal val="true"/>
              <c:showCatName val="false"/>
              <c:showSerName val="false"/>
              <c:showPercent val="false"/>
              <c:showBubbleSize val="false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true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Times New Roman" charset="0"/>
                    <a:ea typeface="宋体" charset="-122"/>
                    <a:cs typeface="Times New Roman" charset="0"/>
                  </a:defRPr>
                </a:pPr>
              </a:p>
            </c:txPr>
            <c:dLblPos val="outEnd"/>
            <c:showLegendKey val="false"/>
            <c:showVal val="true"/>
            <c:showCatName val="false"/>
            <c:showSerName val="false"/>
            <c:showPercent val="false"/>
            <c:showBubbleSize val="false"/>
            <c:showLeaderLines val="false"/>
            <c:extLst>
              <c:ext xmlns:c15="http://schemas.microsoft.com/office/drawing/2012/chart" uri="{CE6537A1-D6FC-4f65-9D91-7224C49458BB}">
                <c15:layout/>
                <c15:showLeaderLines val="false"/>
                <c15:leaderLines/>
              </c:ext>
            </c:extLst>
          </c:dLbls>
          <c:cat>
            <c:strRef>
              <c:f>项目进度统计表!$D$18:$D$28</c:f>
              <c:strCache>
                <c:ptCount val="11"/>
                <c:pt idx="0">
                  <c:v>丽水市</c:v>
                </c:pt>
                <c:pt idx="1">
                  <c:v>湖州市</c:v>
                </c:pt>
                <c:pt idx="2">
                  <c:v>衢州市</c:v>
                </c:pt>
                <c:pt idx="3">
                  <c:v>嘉兴市</c:v>
                </c:pt>
                <c:pt idx="4">
                  <c:v>宁波市</c:v>
                </c:pt>
                <c:pt idx="5">
                  <c:v>金华市</c:v>
                </c:pt>
                <c:pt idx="6">
                  <c:v>绍兴市</c:v>
                </c:pt>
                <c:pt idx="7">
                  <c:v>杭州市</c:v>
                </c:pt>
                <c:pt idx="8">
                  <c:v>温州市</c:v>
                </c:pt>
                <c:pt idx="9">
                  <c:v>台州市</c:v>
                </c:pt>
                <c:pt idx="10">
                  <c:v>舟山市</c:v>
                </c:pt>
              </c:strCache>
            </c:strRef>
          </c:cat>
          <c:val>
            <c:numRef>
              <c:f>项目进度统计表!$E$18:$E$28</c:f>
              <c:numCache>
                <c:formatCode>0.00%</c:formatCode>
                <c:ptCount val="11"/>
                <c:pt idx="0">
                  <c:v>0.997758</c:v>
                </c:pt>
                <c:pt idx="1">
                  <c:v>0.99091341991342</c:v>
                </c:pt>
                <c:pt idx="2">
                  <c:v>0.990708333333333</c:v>
                </c:pt>
                <c:pt idx="3">
                  <c:v>0.990637438423645</c:v>
                </c:pt>
                <c:pt idx="4">
                  <c:v>0.987366145833333</c:v>
                </c:pt>
                <c:pt idx="5">
                  <c:v>0.985555246252677</c:v>
                </c:pt>
                <c:pt idx="6">
                  <c:v>0.984016498316498</c:v>
                </c:pt>
                <c:pt idx="7">
                  <c:v>0.982685754189944</c:v>
                </c:pt>
                <c:pt idx="8">
                  <c:v>0.968091428571428</c:v>
                </c:pt>
                <c:pt idx="9">
                  <c:v>0.961925165562914</c:v>
                </c:pt>
                <c:pt idx="10">
                  <c:v>0.884535714285714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150"/>
        <c:axId val="882785064"/>
        <c:axId val="882784672"/>
      </c:barChart>
      <c:lineChart>
        <c:grouping val="standard"/>
        <c:varyColors val="false"/>
        <c:ser>
          <c:idx val="1"/>
          <c:order val="1"/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delete val="true"/>
          </c:dLbls>
          <c:cat>
            <c:strRef>
              <c:f>项目进度统计表!$D$18:$D$28</c:f>
              <c:strCache>
                <c:ptCount val="11"/>
                <c:pt idx="0">
                  <c:v>丽水市</c:v>
                </c:pt>
                <c:pt idx="1">
                  <c:v>湖州市</c:v>
                </c:pt>
                <c:pt idx="2">
                  <c:v>衢州市</c:v>
                </c:pt>
                <c:pt idx="3">
                  <c:v>嘉兴市</c:v>
                </c:pt>
                <c:pt idx="4">
                  <c:v>宁波市</c:v>
                </c:pt>
                <c:pt idx="5">
                  <c:v>金华市</c:v>
                </c:pt>
                <c:pt idx="6">
                  <c:v>绍兴市</c:v>
                </c:pt>
                <c:pt idx="7">
                  <c:v>杭州市</c:v>
                </c:pt>
                <c:pt idx="8">
                  <c:v>温州市</c:v>
                </c:pt>
                <c:pt idx="9">
                  <c:v>台州市</c:v>
                </c:pt>
                <c:pt idx="10">
                  <c:v>舟山市</c:v>
                </c:pt>
              </c:strCache>
            </c:strRef>
          </c:cat>
          <c:val>
            <c:numRef>
              <c:f>项目进度统计表!$F$18:$F$28</c:f>
              <c:numCache>
                <c:formatCode>0.00%</c:formatCode>
                <c:ptCount val="11"/>
                <c:pt idx="0">
                  <c:v>0.981894561403509</c:v>
                </c:pt>
                <c:pt idx="1">
                  <c:v>0.981894561403509</c:v>
                </c:pt>
                <c:pt idx="2">
                  <c:v>0.981894561403509</c:v>
                </c:pt>
                <c:pt idx="3">
                  <c:v>0.981894561403509</c:v>
                </c:pt>
                <c:pt idx="4">
                  <c:v>0.981894561403509</c:v>
                </c:pt>
                <c:pt idx="5">
                  <c:v>0.981894561403509</c:v>
                </c:pt>
                <c:pt idx="6">
                  <c:v>0.981894561403509</c:v>
                </c:pt>
                <c:pt idx="7">
                  <c:v>0.981894561403509</c:v>
                </c:pt>
                <c:pt idx="8">
                  <c:v>0.981894561403509</c:v>
                </c:pt>
                <c:pt idx="9">
                  <c:v>0.981894561403509</c:v>
                </c:pt>
                <c:pt idx="10">
                  <c:v>0.981894561403509</c:v>
                </c:pt>
              </c:numCache>
            </c:numRef>
          </c:val>
          <c:smooth val="false"/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marker val="false"/>
        <c:smooth val="false"/>
        <c:axId val="882785064"/>
        <c:axId val="882784672"/>
      </c:lineChart>
      <c:catAx>
        <c:axId val="882785064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charset="0"/>
                <a:ea typeface="宋体" charset="-122"/>
                <a:cs typeface="Times New Roman" charset="0"/>
              </a:defRPr>
            </a:pPr>
          </a:p>
        </c:txPr>
        <c:crossAx val="882784672"/>
        <c:crosses val="autoZero"/>
        <c:auto val="true"/>
        <c:lblAlgn val="ctr"/>
        <c:lblOffset val="100"/>
        <c:noMultiLvlLbl val="false"/>
      </c:catAx>
      <c:valAx>
        <c:axId val="882784672"/>
        <c:scaling>
          <c:orientation val="minMax"/>
        </c:scaling>
        <c:delete val="false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.00%" sourceLinked="true"/>
        <c:majorTickMark val="none"/>
        <c:minorTickMark val="none"/>
        <c:tickLblPos val="nextTo"/>
        <c:spPr>
          <a:ln w="6350" cap="flat" cmpd="sng" algn="ctr">
            <a:noFill/>
            <a:prstDash val="solid"/>
            <a:round/>
          </a:ln>
        </c:spPr>
        <c:txPr>
          <a:bodyPr rot="-60000000" spcFirstLastPara="0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charset="0"/>
                <a:ea typeface="宋体" charset="-122"/>
                <a:cs typeface="Times New Roman" charset="0"/>
              </a:defRPr>
            </a:pPr>
          </a:p>
        </c:txPr>
        <c:crossAx val="882785064"/>
        <c:crosses val="autoZero"/>
        <c:crossBetween val="between"/>
        <c:majorUnit val="0.05"/>
      </c:valAx>
      <c:spPr>
        <a:noFill/>
        <a:ln w="25400">
          <a:noFill/>
        </a:ln>
      </c:spPr>
    </c:plotArea>
    <c:plotVisOnly val="true"/>
    <c:dispBlanksAs val="gap"/>
    <c:showDLblsOverMax val="false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 sz="1000">
          <a:latin typeface="Times New Roman" charset="0"/>
          <a:ea typeface="宋体" charset="-122"/>
          <a:cs typeface="Times New Roman" charset="0"/>
        </a:defRPr>
      </a:pPr>
    </a:p>
  </c:txPr>
  <c:externalData r:id="rId1">
    <c:autoUpdate val="false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true"/>
          <a:lstStyle/>
          <a:p>
            <a:pPr>
              <a:defRPr lang="zh-CN" sz="1200" b="1" i="0" u="none" strike="noStrike" kern="1200" baseline="0">
                <a:solidFill>
                  <a:schemeClr val="tx1"/>
                </a:solidFill>
                <a:latin typeface="Times New Roman" charset="0"/>
                <a:ea typeface="宋体" charset="-122"/>
                <a:cs typeface="Times New Roman" charset="0"/>
              </a:defRPr>
            </a:pPr>
            <a:r>
              <a:rPr lang="zh-CN"/>
              <a:t>水利民生实事分市完成率（截至</a:t>
            </a:r>
            <a:r>
              <a:rPr lang="en-US"/>
              <a:t>7</a:t>
            </a:r>
            <a:r>
              <a:rPr lang="zh-CN"/>
              <a:t>月</a:t>
            </a:r>
            <a:r>
              <a:rPr lang="en-US"/>
              <a:t>31</a:t>
            </a:r>
            <a:r>
              <a:rPr lang="zh-CN"/>
              <a:t>日）</a:t>
            </a:r>
            <a:endParaRPr lang="zh-CN"/>
          </a:p>
        </c:rich>
      </c:tx>
      <c:layout/>
      <c:overlay val="false"/>
      <c:spPr>
        <a:noFill/>
        <a:ln w="25400">
          <a:noFill/>
        </a:ln>
      </c:spPr>
    </c:title>
    <c:autoTitleDeleted val="false"/>
    <c:plotArea>
      <c:layout/>
      <c:barChart>
        <c:barDir val="col"/>
        <c:grouping val="clustered"/>
        <c:varyColors val="false"/>
        <c:ser>
          <c:idx val="0"/>
          <c:order val="0"/>
          <c:spPr>
            <a:solidFill>
              <a:srgbClr val="5B9BD5"/>
            </a:solidFill>
            <a:ln w="25400">
              <a:noFill/>
            </a:ln>
          </c:spPr>
          <c:invertIfNegative val="false"/>
          <c:dLbls>
            <c:dLbl>
              <c:idx val="8"/>
              <c:layout>
                <c:manualLayout>
                  <c:x val="-8.23775400923334e-17"/>
                  <c:y val="0.0269949432726337"/>
                </c:manualLayout>
              </c:layout>
              <c:dLblPos val="outEnd"/>
              <c:showLegendKey val="false"/>
              <c:showVal val="true"/>
              <c:showCatName val="false"/>
              <c:showSerName val="false"/>
              <c:showPercent val="false"/>
              <c:showBubbleSize val="false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0.00121374122775206"/>
                  <c:y val="0.0309744721400271"/>
                </c:manualLayout>
              </c:layout>
              <c:dLblPos val="outEnd"/>
              <c:showLegendKey val="false"/>
              <c:showVal val="true"/>
              <c:showCatName val="false"/>
              <c:showSerName val="false"/>
              <c:showPercent val="false"/>
              <c:showBubbleSize val="false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0"/>
                  <c:y val="0.0325335752305401"/>
                </c:manualLayout>
              </c:layout>
              <c:dLblPos val="outEnd"/>
              <c:showLegendKey val="false"/>
              <c:showVal val="true"/>
              <c:showCatName val="false"/>
              <c:showSerName val="false"/>
              <c:showPercent val="false"/>
              <c:showBubbleSize val="false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true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Times New Roman" charset="0"/>
                    <a:ea typeface="宋体" charset="-122"/>
                    <a:cs typeface="Times New Roman" charset="0"/>
                  </a:defRPr>
                </a:pPr>
              </a:p>
            </c:txPr>
            <c:dLblPos val="outEnd"/>
            <c:showLegendKey val="false"/>
            <c:showVal val="true"/>
            <c:showCatName val="false"/>
            <c:showSerName val="false"/>
            <c:showPercent val="false"/>
            <c:showBubbleSize val="false"/>
            <c:showLeaderLines val="false"/>
            <c:extLst>
              <c:ext xmlns:c15="http://schemas.microsoft.com/office/drawing/2012/chart" uri="{CE6537A1-D6FC-4f65-9D91-7224C49458BB}">
                <c15:layout/>
                <c15:showLeaderLines val="false"/>
                <c15:leaderLines/>
              </c:ext>
            </c:extLst>
          </c:dLbls>
          <c:cat>
            <c:strRef>
              <c:f>事项统计表!$E$24:$E$34</c:f>
              <c:strCache>
                <c:ptCount val="11"/>
                <c:pt idx="0">
                  <c:v>丽水市</c:v>
                </c:pt>
                <c:pt idx="1">
                  <c:v>湖州市</c:v>
                </c:pt>
                <c:pt idx="2">
                  <c:v>宁波市</c:v>
                </c:pt>
                <c:pt idx="3">
                  <c:v>衢州市</c:v>
                </c:pt>
                <c:pt idx="4">
                  <c:v>金华市</c:v>
                </c:pt>
                <c:pt idx="5">
                  <c:v>嘉兴市</c:v>
                </c:pt>
                <c:pt idx="6">
                  <c:v>台州市</c:v>
                </c:pt>
                <c:pt idx="7">
                  <c:v>绍兴市</c:v>
                </c:pt>
                <c:pt idx="8">
                  <c:v>杭州市</c:v>
                </c:pt>
                <c:pt idx="9">
                  <c:v>温州市</c:v>
                </c:pt>
                <c:pt idx="10">
                  <c:v>舟山市</c:v>
                </c:pt>
              </c:strCache>
            </c:strRef>
          </c:cat>
          <c:val>
            <c:numRef>
              <c:f>事项统计表!$F$24:$F$34</c:f>
              <c:numCache>
                <c:formatCode>0.00%</c:formatCode>
                <c:ptCount val="11"/>
                <c:pt idx="0">
                  <c:v>1.10672</c:v>
                </c:pt>
                <c:pt idx="1">
                  <c:v>1.0314</c:v>
                </c:pt>
                <c:pt idx="2">
                  <c:v>1.0118</c:v>
                </c:pt>
                <c:pt idx="3">
                  <c:v>0.96442</c:v>
                </c:pt>
                <c:pt idx="4">
                  <c:v>0.93696</c:v>
                </c:pt>
                <c:pt idx="5">
                  <c:v>0.81295</c:v>
                </c:pt>
                <c:pt idx="6">
                  <c:v>0.805533333333333</c:v>
                </c:pt>
                <c:pt idx="7">
                  <c:v>0.801966666666667</c:v>
                </c:pt>
                <c:pt idx="8">
                  <c:v>0.726633333333333</c:v>
                </c:pt>
                <c:pt idx="9">
                  <c:v>0.72415</c:v>
                </c:pt>
                <c:pt idx="10">
                  <c:v>0.7194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150"/>
        <c:axId val="887974776"/>
        <c:axId val="887975168"/>
      </c:barChart>
      <c:lineChart>
        <c:grouping val="standard"/>
        <c:varyColors val="false"/>
        <c:ser>
          <c:idx val="1"/>
          <c:order val="1"/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delete val="true"/>
          </c:dLbls>
          <c:cat>
            <c:strRef>
              <c:f>事项统计表!$E$24:$E$34</c:f>
              <c:strCache>
                <c:ptCount val="11"/>
                <c:pt idx="0">
                  <c:v>丽水市</c:v>
                </c:pt>
                <c:pt idx="1">
                  <c:v>湖州市</c:v>
                </c:pt>
                <c:pt idx="2">
                  <c:v>宁波市</c:v>
                </c:pt>
                <c:pt idx="3">
                  <c:v>衢州市</c:v>
                </c:pt>
                <c:pt idx="4">
                  <c:v>金华市</c:v>
                </c:pt>
                <c:pt idx="5">
                  <c:v>嘉兴市</c:v>
                </c:pt>
                <c:pt idx="6">
                  <c:v>台州市</c:v>
                </c:pt>
                <c:pt idx="7">
                  <c:v>绍兴市</c:v>
                </c:pt>
                <c:pt idx="8">
                  <c:v>杭州市</c:v>
                </c:pt>
                <c:pt idx="9">
                  <c:v>温州市</c:v>
                </c:pt>
                <c:pt idx="10">
                  <c:v>舟山市</c:v>
                </c:pt>
              </c:strCache>
            </c:strRef>
          </c:cat>
          <c:val>
            <c:numRef>
              <c:f>事项统计表!$G$24:$G$34</c:f>
              <c:numCache>
                <c:formatCode>0.00%</c:formatCode>
                <c:ptCount val="11"/>
                <c:pt idx="0">
                  <c:v>0.8202</c:v>
                </c:pt>
                <c:pt idx="1">
                  <c:v>0.8202</c:v>
                </c:pt>
                <c:pt idx="2">
                  <c:v>0.8202</c:v>
                </c:pt>
                <c:pt idx="3">
                  <c:v>0.8202</c:v>
                </c:pt>
                <c:pt idx="4">
                  <c:v>0.8202</c:v>
                </c:pt>
                <c:pt idx="5">
                  <c:v>0.8202</c:v>
                </c:pt>
                <c:pt idx="6">
                  <c:v>0.8202</c:v>
                </c:pt>
                <c:pt idx="7">
                  <c:v>0.8202</c:v>
                </c:pt>
                <c:pt idx="8">
                  <c:v>0.8202</c:v>
                </c:pt>
                <c:pt idx="9">
                  <c:v>0.8202</c:v>
                </c:pt>
                <c:pt idx="10">
                  <c:v>0.8202</c:v>
                </c:pt>
              </c:numCache>
            </c:numRef>
          </c:val>
          <c:smooth val="false"/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marker val="false"/>
        <c:smooth val="false"/>
        <c:axId val="887974776"/>
        <c:axId val="887975168"/>
      </c:lineChart>
      <c:catAx>
        <c:axId val="887974776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charset="0"/>
                <a:ea typeface="宋体" charset="-122"/>
                <a:cs typeface="Times New Roman" charset="0"/>
              </a:defRPr>
            </a:pPr>
          </a:p>
        </c:txPr>
        <c:crossAx val="887975168"/>
        <c:crosses val="autoZero"/>
        <c:auto val="true"/>
        <c:lblAlgn val="ctr"/>
        <c:lblOffset val="100"/>
        <c:noMultiLvlLbl val="false"/>
      </c:catAx>
      <c:valAx>
        <c:axId val="887975168"/>
        <c:scaling>
          <c:orientation val="minMax"/>
        </c:scaling>
        <c:delete val="false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.00%" sourceLinked="true"/>
        <c:majorTickMark val="none"/>
        <c:minorTickMark val="none"/>
        <c:tickLblPos val="nextTo"/>
        <c:spPr>
          <a:ln w="6350" cap="flat" cmpd="sng" algn="ctr">
            <a:noFill/>
            <a:prstDash val="solid"/>
            <a:round/>
          </a:ln>
        </c:spPr>
        <c:txPr>
          <a:bodyPr rot="-60000000" spcFirstLastPara="0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charset="0"/>
                <a:ea typeface="宋体" charset="-122"/>
                <a:cs typeface="Times New Roman" charset="0"/>
              </a:defRPr>
            </a:pPr>
          </a:p>
        </c:txPr>
        <c:crossAx val="887974776"/>
        <c:crosses val="autoZero"/>
        <c:crossBetween val="between"/>
      </c:valAx>
      <c:spPr>
        <a:noFill/>
        <a:ln w="25400">
          <a:noFill/>
        </a:ln>
      </c:spPr>
    </c:plotArea>
    <c:plotVisOnly val="true"/>
    <c:dispBlanksAs val="gap"/>
    <c:showDLblsOverMax val="false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 sz="1000">
          <a:latin typeface="Times New Roman" charset="0"/>
          <a:ea typeface="宋体" charset="-122"/>
          <a:cs typeface="Times New Roman" charset="0"/>
        </a:defRPr>
      </a:pPr>
    </a:p>
  </c:txPr>
  <c:externalData r:id="rId1">
    <c:autoUpdate val="false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true"/>
          <a:lstStyle/>
          <a:p>
            <a:pPr>
              <a:defRPr lang="zh-CN" sz="1200" b="1" i="0" u="none" strike="noStrike" kern="1200" baseline="0">
                <a:solidFill>
                  <a:schemeClr val="tx1"/>
                </a:solidFill>
                <a:latin typeface="Times New Roman" charset="0"/>
                <a:ea typeface="宋体" charset="-122"/>
                <a:cs typeface="Times New Roman" charset="0"/>
              </a:defRPr>
            </a:pPr>
            <a:r>
              <a:rPr lang="zh-CN"/>
              <a:t>提标加固海塘分市进度</a:t>
            </a:r>
            <a:r>
              <a:rPr lang="zh-CN" altLang="en-US"/>
              <a:t>（截至</a:t>
            </a:r>
            <a:r>
              <a:rPr lang="en-US" altLang="zh-CN"/>
              <a:t>7</a:t>
            </a:r>
            <a:r>
              <a:rPr lang="zh-CN" altLang="en-US"/>
              <a:t>月</a:t>
            </a:r>
            <a:r>
              <a:rPr lang="en-US" altLang="zh-CN"/>
              <a:t>31</a:t>
            </a:r>
            <a:r>
              <a:rPr lang="zh-CN" altLang="en-US"/>
              <a:t>日）</a:t>
            </a:r>
            <a:endParaRPr lang="zh-CN"/>
          </a:p>
        </c:rich>
      </c:tx>
      <c:layout/>
      <c:overlay val="false"/>
      <c:spPr>
        <a:noFill/>
        <a:ln>
          <a:noFill/>
        </a:ln>
        <a:effectLst/>
      </c:spPr>
    </c:title>
    <c:autoTitleDeleted val="false"/>
    <c:plotArea>
      <c:layout/>
      <c:barChart>
        <c:barDir val="col"/>
        <c:grouping val="clustered"/>
        <c:varyColors val="false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false"/>
          <c:dPt>
            <c:idx val="2"/>
            <c:invertIfNegative val="false"/>
            <c:bubble3D val="false"/>
            <c:spPr>
              <a:solidFill>
                <a:srgbClr val="FFC000"/>
              </a:solidFill>
              <a:ln>
                <a:noFill/>
              </a:ln>
              <a:effectLst/>
            </c:spPr>
          </c:dPt>
          <c:dPt>
            <c:idx val="3"/>
            <c:invertIfNegative val="false"/>
            <c:bubble3D val="false"/>
            <c:spPr>
              <a:solidFill>
                <a:srgbClr val="FFC000"/>
              </a:solidFill>
              <a:ln>
                <a:noFill/>
              </a:ln>
              <a:effectLst/>
            </c:spPr>
          </c:dPt>
          <c:dPt>
            <c:idx val="4"/>
            <c:invertIfNegative val="false"/>
            <c:bubble3D val="false"/>
            <c:spPr>
              <a:solidFill>
                <a:srgbClr val="FFC000"/>
              </a:solidFill>
              <a:ln>
                <a:noFill/>
              </a:ln>
              <a:effectLst/>
            </c:spPr>
          </c:dPt>
          <c:dPt>
            <c:idx val="5"/>
            <c:invertIfNegative val="false"/>
            <c:bubble3D val="false"/>
            <c:spPr>
              <a:solidFill>
                <a:srgbClr val="FFC000"/>
              </a:solidFill>
              <a:ln>
                <a:noFill/>
              </a:ln>
              <a:effectLst/>
            </c:spPr>
          </c:dPt>
          <c:dPt>
            <c:idx val="6"/>
            <c:invertIfNegative val="false"/>
            <c:bubble3D val="false"/>
            <c:spPr>
              <a:solidFill>
                <a:srgbClr val="FFC000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true"/>
              <a:lstStyle/>
              <a:p>
                <a:pPr>
                  <a:defRPr lang="zh-CN" sz="1000" b="0" i="0" u="none" strike="noStrike" kern="1200" baseline="0">
                    <a:solidFill>
                      <a:sysClr val="windowText" lastClr="000000"/>
                    </a:solidFill>
                    <a:latin typeface="Times New Roman" charset="0"/>
                    <a:ea typeface="宋体" charset="-122"/>
                    <a:cs typeface="Times New Roman" charset="0"/>
                  </a:defRPr>
                </a:pPr>
              </a:p>
            </c:txPr>
            <c:dLblPos val="outEnd"/>
            <c:showLegendKey val="false"/>
            <c:showVal val="true"/>
            <c:showCatName val="false"/>
            <c:showSerName val="false"/>
            <c:showPercent val="false"/>
            <c:showBubbleSize val="false"/>
            <c:showLeaderLines val="false"/>
            <c:extLst>
              <c:ext xmlns:c15="http://schemas.microsoft.com/office/drawing/2012/chart" uri="{CE6537A1-D6FC-4f65-9D91-7224C49458BB}">
                <c15:layout/>
                <c15:showLeaderLines val="false"/>
                <c15:leaderLines/>
              </c:ext>
            </c:extLst>
          </c:dLbls>
          <c:cat>
            <c:strRef>
              <c:f>海塘!$A$2:$A$8</c:f>
              <c:strCache>
                <c:ptCount val="7"/>
                <c:pt idx="0">
                  <c:v>宁波市</c:v>
                </c:pt>
                <c:pt idx="1">
                  <c:v>台州市</c:v>
                </c:pt>
                <c:pt idx="2">
                  <c:v>舟山市</c:v>
                </c:pt>
                <c:pt idx="3">
                  <c:v>温州市</c:v>
                </c:pt>
                <c:pt idx="4">
                  <c:v>嘉兴市</c:v>
                </c:pt>
                <c:pt idx="5">
                  <c:v>绍兴市</c:v>
                </c:pt>
                <c:pt idx="6">
                  <c:v>杭州市</c:v>
                </c:pt>
              </c:strCache>
            </c:strRef>
          </c:cat>
          <c:val>
            <c:numRef>
              <c:f>海塘!$B$2:$B$8</c:f>
              <c:numCache>
                <c:formatCode>0.00%</c:formatCode>
                <c:ptCount val="7"/>
                <c:pt idx="0">
                  <c:v>0.8526</c:v>
                </c:pt>
                <c:pt idx="1">
                  <c:v>0.7857</c:v>
                </c:pt>
                <c:pt idx="2">
                  <c:v>0.66</c:v>
                </c:pt>
                <c:pt idx="3">
                  <c:v>0.65</c:v>
                </c:pt>
                <c:pt idx="4">
                  <c:v>0.6</c:v>
                </c:pt>
                <c:pt idx="5">
                  <c:v>0.5</c:v>
                </c:pt>
                <c:pt idx="6">
                  <c:v>0.475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150"/>
        <c:axId val="887975952"/>
        <c:axId val="887976344"/>
      </c:barChart>
      <c:lineChart>
        <c:grouping val="standard"/>
        <c:varyColors val="false"/>
        <c:ser>
          <c:idx val="1"/>
          <c:order val="1"/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delete val="true"/>
          </c:dLbls>
          <c:cat>
            <c:strRef>
              <c:f>海塘!$A$2:$A$8</c:f>
              <c:strCache>
                <c:ptCount val="7"/>
                <c:pt idx="0">
                  <c:v>宁波市</c:v>
                </c:pt>
                <c:pt idx="1">
                  <c:v>台州市</c:v>
                </c:pt>
                <c:pt idx="2">
                  <c:v>舟山市</c:v>
                </c:pt>
                <c:pt idx="3">
                  <c:v>温州市</c:v>
                </c:pt>
                <c:pt idx="4">
                  <c:v>嘉兴市</c:v>
                </c:pt>
                <c:pt idx="5">
                  <c:v>绍兴市</c:v>
                </c:pt>
                <c:pt idx="6">
                  <c:v>杭州市</c:v>
                </c:pt>
              </c:strCache>
            </c:strRef>
          </c:cat>
          <c:val>
            <c:numRef>
              <c:f>海塘!$C$2:$C$8</c:f>
              <c:numCache>
                <c:formatCode>0.00%</c:formatCode>
                <c:ptCount val="7"/>
                <c:pt idx="0">
                  <c:v>0.7218</c:v>
                </c:pt>
                <c:pt idx="1">
                  <c:v>0.7218</c:v>
                </c:pt>
                <c:pt idx="2">
                  <c:v>0.7218</c:v>
                </c:pt>
                <c:pt idx="3">
                  <c:v>0.7218</c:v>
                </c:pt>
                <c:pt idx="4">
                  <c:v>0.7218</c:v>
                </c:pt>
                <c:pt idx="5">
                  <c:v>0.7218</c:v>
                </c:pt>
                <c:pt idx="6">
                  <c:v>0.7218</c:v>
                </c:pt>
              </c:numCache>
            </c:numRef>
          </c:val>
          <c:smooth val="false"/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marker val="false"/>
        <c:smooth val="false"/>
        <c:axId val="887975952"/>
        <c:axId val="887976344"/>
      </c:lineChart>
      <c:catAx>
        <c:axId val="887975952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charset="0"/>
                <a:ea typeface="宋体" charset="-122"/>
                <a:cs typeface="Times New Roman" charset="0"/>
              </a:defRPr>
            </a:pPr>
          </a:p>
        </c:txPr>
        <c:crossAx val="887976344"/>
        <c:crosses val="autoZero"/>
        <c:auto val="true"/>
        <c:lblAlgn val="ctr"/>
        <c:lblOffset val="100"/>
        <c:noMultiLvlLbl val="false"/>
      </c:catAx>
      <c:valAx>
        <c:axId val="887976344"/>
        <c:scaling>
          <c:orientation val="minMax"/>
        </c:scaling>
        <c:delete val="false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.00%" sourceLinked="true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charset="0"/>
                <a:ea typeface="宋体" charset="-122"/>
                <a:cs typeface="Times New Roman" charset="0"/>
              </a:defRPr>
            </a:pPr>
          </a:p>
        </c:txPr>
        <c:crossAx val="887975952"/>
        <c:crosses val="autoZero"/>
        <c:crossBetween val="between"/>
      </c:valAx>
      <c:spPr>
        <a:noFill/>
        <a:ln w="25400">
          <a:noFill/>
        </a:ln>
      </c:spPr>
    </c:plotArea>
    <c:plotVisOnly val="true"/>
    <c:dispBlanksAs val="gap"/>
    <c:showDLblsOverMax val="false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 sz="1000">
          <a:latin typeface="Times New Roman" charset="0"/>
          <a:ea typeface="宋体" charset="-122"/>
          <a:cs typeface="Times New Roman" charset="0"/>
        </a:defRPr>
      </a:pPr>
    </a:p>
  </c:txPr>
  <c:externalData r:id="rId1">
    <c:autoUpdate val="false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true"/>
          <a:lstStyle/>
          <a:p>
            <a:pPr>
              <a:defRPr lang="zh-CN" sz="1200" b="1" i="0" u="none" strike="noStrike" kern="1200" baseline="0">
                <a:solidFill>
                  <a:schemeClr val="tx1"/>
                </a:solidFill>
                <a:latin typeface="Times New Roman" charset="0"/>
                <a:ea typeface="+mn-ea"/>
                <a:cs typeface="Times New Roman" charset="0"/>
              </a:defRPr>
            </a:pPr>
            <a:r>
              <a:rPr lang="zh-CN"/>
              <a:t>提标加固海塘分市完成率</a:t>
            </a:r>
            <a:r>
              <a:rPr lang="zh-CN" altLang="en-US"/>
              <a:t>（截至</a:t>
            </a:r>
            <a:r>
              <a:rPr lang="en-US" altLang="zh-CN"/>
              <a:t>7</a:t>
            </a:r>
            <a:r>
              <a:rPr lang="zh-CN" altLang="en-US"/>
              <a:t>月</a:t>
            </a:r>
            <a:r>
              <a:rPr lang="en-US" altLang="zh-CN"/>
              <a:t>31</a:t>
            </a:r>
            <a:r>
              <a:rPr lang="zh-CN" altLang="en-US"/>
              <a:t>日）</a:t>
            </a:r>
            <a:endParaRPr lang="zh-CN"/>
          </a:p>
        </c:rich>
      </c:tx>
      <c:layout/>
      <c:overlay val="false"/>
      <c:spPr>
        <a:noFill/>
        <a:ln>
          <a:noFill/>
        </a:ln>
        <a:effectLst/>
      </c:spPr>
    </c:title>
    <c:autoTitleDeleted val="false"/>
    <c:plotArea>
      <c:layout/>
      <c:barChart>
        <c:barDir val="col"/>
        <c:grouping val="clustered"/>
        <c:varyColors val="false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false"/>
          <c:dLbls>
            <c:dLbl>
              <c:idx val="2"/>
              <c:layout>
                <c:manualLayout>
                  <c:x val="-9.62368585173165e-17"/>
                  <c:y val="0.0306372549019608"/>
                </c:manualLayout>
              </c:layout>
              <c:dLblPos val="outEnd"/>
              <c:showLegendKey val="false"/>
              <c:showVal val="true"/>
              <c:showCatName val="false"/>
              <c:showSerName val="false"/>
              <c:showPercent val="false"/>
              <c:showBubbleSize val="false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0.0306372549019608"/>
                </c:manualLayout>
              </c:layout>
              <c:dLblPos val="outEnd"/>
              <c:showLegendKey val="false"/>
              <c:showVal val="true"/>
              <c:showCatName val="false"/>
              <c:showSerName val="false"/>
              <c:showPercent val="false"/>
              <c:showBubbleSize val="false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numFmt formatCode="General" sourceLinked="true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true"/>
                <a:lstStyle/>
                <a:p>
                  <a:pPr>
                    <a:defRPr lang="zh-CN" sz="1000" b="0" i="0" u="none" strike="noStrike" kern="1200" baseline="0">
                      <a:solidFill>
                        <a:srgbClr val="C00000"/>
                      </a:solidFill>
                      <a:latin typeface="Times New Roman" charset="0"/>
                      <a:ea typeface="+mn-ea"/>
                      <a:cs typeface="Times New Roman" charset="0"/>
                    </a:defRPr>
                  </a:pPr>
                </a:p>
              </c:txPr>
              <c:dLblPos val="outEnd"/>
              <c:showLegendKey val="false"/>
              <c:showVal val="true"/>
              <c:showCatName val="false"/>
              <c:showSerName val="false"/>
              <c:showPercent val="false"/>
              <c:showBubbleSize val="false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/>
              <c:numFmt formatCode="General" sourceLinked="true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true"/>
                <a:lstStyle/>
                <a:p>
                  <a:pPr>
                    <a:defRPr lang="zh-CN" sz="1000" b="0" i="0" u="none" strike="noStrike" kern="1200" baseline="0">
                      <a:solidFill>
                        <a:srgbClr val="C00000"/>
                      </a:solidFill>
                      <a:latin typeface="Times New Roman" charset="0"/>
                      <a:ea typeface="+mn-ea"/>
                      <a:cs typeface="Times New Roman" charset="0"/>
                    </a:defRPr>
                  </a:pPr>
                </a:p>
              </c:txPr>
              <c:dLblPos val="outEnd"/>
              <c:showLegendKey val="false"/>
              <c:showVal val="true"/>
              <c:showCatName val="false"/>
              <c:showSerName val="false"/>
              <c:showPercent val="false"/>
              <c:showBubbleSize val="false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/>
              <c:numFmt formatCode="General" sourceLinked="true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true"/>
                <a:lstStyle/>
                <a:p>
                  <a:pPr>
                    <a:defRPr lang="zh-CN" sz="1000" b="0" i="0" u="none" strike="noStrike" kern="1200" baseline="0">
                      <a:solidFill>
                        <a:srgbClr val="C00000"/>
                      </a:solidFill>
                      <a:latin typeface="Times New Roman" charset="0"/>
                      <a:ea typeface="+mn-ea"/>
                      <a:cs typeface="Times New Roman" charset="0"/>
                    </a:defRPr>
                  </a:pPr>
                </a:p>
              </c:txPr>
              <c:dLblPos val="outEnd"/>
              <c:showLegendKey val="false"/>
              <c:showVal val="true"/>
              <c:showCatName val="false"/>
              <c:showSerName val="false"/>
              <c:showPercent val="false"/>
              <c:showBubbleSize val="false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true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Times New Roman" charset="0"/>
                    <a:ea typeface="+mn-ea"/>
                    <a:cs typeface="Times New Roman" charset="0"/>
                  </a:defRPr>
                </a:pPr>
              </a:p>
            </c:txPr>
            <c:dLblPos val="outEnd"/>
            <c:showLegendKey val="false"/>
            <c:showVal val="true"/>
            <c:showCatName val="false"/>
            <c:showSerName val="false"/>
            <c:showPercent val="false"/>
            <c:showBubbleSize val="false"/>
            <c:showLeaderLines val="false"/>
            <c:extLst>
              <c:ext xmlns:c15="http://schemas.microsoft.com/office/drawing/2012/chart" uri="{CE6537A1-D6FC-4f65-9D91-7224C49458BB}">
                <c15:layout/>
                <c15:showLeaderLines val="false"/>
                <c15:leaderLines/>
              </c:ext>
            </c:extLst>
          </c:dLbls>
          <c:cat>
            <c:strRef>
              <c:f>海塘!$A$2:$A$8</c:f>
              <c:strCache>
                <c:ptCount val="7"/>
                <c:pt idx="0">
                  <c:v>宁波市</c:v>
                </c:pt>
                <c:pt idx="1">
                  <c:v>台州市</c:v>
                </c:pt>
                <c:pt idx="2">
                  <c:v>舟山市</c:v>
                </c:pt>
                <c:pt idx="3">
                  <c:v>温州市</c:v>
                </c:pt>
                <c:pt idx="4">
                  <c:v>杭州市</c:v>
                </c:pt>
                <c:pt idx="5">
                  <c:v>嘉兴市</c:v>
                </c:pt>
                <c:pt idx="6">
                  <c:v>绍兴市</c:v>
                </c:pt>
              </c:strCache>
            </c:strRef>
          </c:cat>
          <c:val>
            <c:numRef>
              <c:f>海塘!$B$2:$B$8</c:f>
              <c:numCache>
                <c:formatCode>0.00%</c:formatCode>
                <c:ptCount val="7"/>
                <c:pt idx="0">
                  <c:v>0.8336</c:v>
                </c:pt>
                <c:pt idx="1">
                  <c:v>0.5462</c:v>
                </c:pt>
                <c:pt idx="2">
                  <c:v>0.3342</c:v>
                </c:pt>
                <c:pt idx="3">
                  <c:v>0.3163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150"/>
        <c:axId val="887977128"/>
        <c:axId val="887977520"/>
      </c:barChart>
      <c:lineChart>
        <c:grouping val="standard"/>
        <c:varyColors val="false"/>
        <c:ser>
          <c:idx val="1"/>
          <c:order val="1"/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delete val="true"/>
          </c:dLbls>
          <c:cat>
            <c:strRef>
              <c:f>海塘!$A$2:$A$7</c:f>
              <c:strCache>
                <c:ptCount val="6"/>
                <c:pt idx="0">
                  <c:v>宁波市</c:v>
                </c:pt>
                <c:pt idx="1">
                  <c:v>台州市</c:v>
                </c:pt>
                <c:pt idx="2">
                  <c:v>舟山市</c:v>
                </c:pt>
                <c:pt idx="3">
                  <c:v>温州市</c:v>
                </c:pt>
                <c:pt idx="4">
                  <c:v>杭州市</c:v>
                </c:pt>
                <c:pt idx="5">
                  <c:v>嘉兴市</c:v>
                </c:pt>
              </c:strCache>
            </c:strRef>
          </c:cat>
          <c:val>
            <c:numRef>
              <c:f>海塘!$C$2:$C$8</c:f>
              <c:numCache>
                <c:formatCode>0.00%</c:formatCode>
                <c:ptCount val="7"/>
                <c:pt idx="0">
                  <c:v>0.4403</c:v>
                </c:pt>
                <c:pt idx="1">
                  <c:v>0.4403</c:v>
                </c:pt>
                <c:pt idx="2">
                  <c:v>0.4403</c:v>
                </c:pt>
                <c:pt idx="3">
                  <c:v>0.4403</c:v>
                </c:pt>
                <c:pt idx="4">
                  <c:v>0.4403</c:v>
                </c:pt>
                <c:pt idx="5">
                  <c:v>0.4403</c:v>
                </c:pt>
                <c:pt idx="6">
                  <c:v>0.4403</c:v>
                </c:pt>
              </c:numCache>
            </c:numRef>
          </c:val>
          <c:smooth val="false"/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marker val="false"/>
        <c:smooth val="false"/>
        <c:axId val="887977128"/>
        <c:axId val="887977520"/>
      </c:lineChart>
      <c:catAx>
        <c:axId val="887977128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charset="0"/>
                <a:ea typeface="+mn-ea"/>
                <a:cs typeface="Times New Roman" charset="0"/>
              </a:defRPr>
            </a:pPr>
          </a:p>
        </c:txPr>
        <c:crossAx val="887977520"/>
        <c:crosses val="autoZero"/>
        <c:auto val="true"/>
        <c:lblAlgn val="ctr"/>
        <c:lblOffset val="100"/>
        <c:noMultiLvlLbl val="false"/>
      </c:catAx>
      <c:valAx>
        <c:axId val="887977520"/>
        <c:scaling>
          <c:orientation val="minMax"/>
        </c:scaling>
        <c:delete val="false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.00%" sourceLinked="true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charset="0"/>
                <a:ea typeface="+mn-ea"/>
                <a:cs typeface="Times New Roman" charset="0"/>
              </a:defRPr>
            </a:pPr>
          </a:p>
        </c:txPr>
        <c:crossAx val="887977128"/>
        <c:crosses val="autoZero"/>
        <c:crossBetween val="between"/>
      </c:valAx>
      <c:spPr>
        <a:noFill/>
        <a:ln w="25400">
          <a:noFill/>
        </a:ln>
      </c:spPr>
    </c:plotArea>
    <c:plotVisOnly val="true"/>
    <c:dispBlanksAs val="gap"/>
    <c:showDLblsOverMax val="false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 sz="1000">
          <a:latin typeface="Times New Roman" charset="0"/>
          <a:ea typeface="+mn-ea"/>
          <a:cs typeface="Times New Roman" charset="0"/>
        </a:defRPr>
      </a:pPr>
    </a:p>
  </c:txPr>
  <c:externalData r:id="rId1">
    <c:autoUpdate val="false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true"/>
          <a:lstStyle/>
          <a:p>
            <a:pPr>
              <a:defRPr lang="zh-CN" sz="1200" b="1" i="0" u="none" strike="noStrike" kern="1200" baseline="0">
                <a:solidFill>
                  <a:schemeClr val="tx1"/>
                </a:solidFill>
                <a:latin typeface="Times New Roman" charset="0"/>
                <a:ea typeface="宋体" charset="-122"/>
                <a:cs typeface="Times New Roman" charset="0"/>
              </a:defRPr>
            </a:pPr>
            <a:r>
              <a:rPr lang="zh-CN"/>
              <a:t>水库除险加固分市进度</a:t>
            </a:r>
            <a:r>
              <a:rPr lang="zh-CN" altLang="en-US"/>
              <a:t>（截至</a:t>
            </a:r>
            <a:r>
              <a:rPr lang="en-US" altLang="zh-CN"/>
              <a:t>7</a:t>
            </a:r>
            <a:r>
              <a:rPr lang="zh-CN" altLang="en-US"/>
              <a:t>月</a:t>
            </a:r>
            <a:r>
              <a:rPr lang="en-US" altLang="zh-CN"/>
              <a:t>31</a:t>
            </a:r>
            <a:r>
              <a:rPr lang="zh-CN" altLang="en-US"/>
              <a:t>日）</a:t>
            </a:r>
            <a:endParaRPr lang="zh-CN"/>
          </a:p>
        </c:rich>
      </c:tx>
      <c:layout/>
      <c:overlay val="false"/>
      <c:spPr>
        <a:noFill/>
        <a:ln>
          <a:noFill/>
        </a:ln>
        <a:effectLst/>
      </c:spPr>
    </c:title>
    <c:autoTitleDeleted val="false"/>
    <c:plotArea>
      <c:layout/>
      <c:barChart>
        <c:barDir val="col"/>
        <c:grouping val="clustered"/>
        <c:varyColors val="false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false"/>
          <c:dPt>
            <c:idx val="7"/>
            <c:invertIfNegative val="false"/>
            <c:bubble3D val="false"/>
            <c:spPr>
              <a:solidFill>
                <a:srgbClr val="FFC000"/>
              </a:solidFill>
              <a:ln>
                <a:noFill/>
              </a:ln>
              <a:effectLst/>
            </c:spPr>
          </c:dPt>
          <c:dPt>
            <c:idx val="8"/>
            <c:invertIfNegative val="false"/>
            <c:bubble3D val="false"/>
            <c:spPr>
              <a:solidFill>
                <a:srgbClr val="FFC000"/>
              </a:solidFill>
              <a:ln>
                <a:noFill/>
              </a:ln>
              <a:effectLst/>
            </c:spPr>
          </c:dPt>
          <c:dPt>
            <c:idx val="9"/>
            <c:invertIfNegative val="false"/>
            <c:bubble3D val="false"/>
            <c:spPr>
              <a:solidFill>
                <a:srgbClr val="FFC000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true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Times New Roman" charset="0"/>
                    <a:ea typeface="宋体" charset="-122"/>
                    <a:cs typeface="Times New Roman" charset="0"/>
                  </a:defRPr>
                </a:pPr>
              </a:p>
            </c:txPr>
            <c:dLblPos val="outEnd"/>
            <c:showLegendKey val="false"/>
            <c:showVal val="true"/>
            <c:showCatName val="false"/>
            <c:showSerName val="false"/>
            <c:showPercent val="false"/>
            <c:showBubbleSize val="false"/>
            <c:showLeaderLines val="false"/>
            <c:extLst>
              <c:ext xmlns:c15="http://schemas.microsoft.com/office/drawing/2012/chart" uri="{CE6537A1-D6FC-4f65-9D91-7224C49458BB}">
                <c15:layout/>
                <c15:showLeaderLines val="false"/>
                <c15:leaderLines/>
              </c:ext>
            </c:extLst>
          </c:dLbls>
          <c:cat>
            <c:strRef>
              <c:f>水库!$A$2:$A$11</c:f>
              <c:strCache>
                <c:ptCount val="10"/>
                <c:pt idx="0">
                  <c:v>宁波市</c:v>
                </c:pt>
                <c:pt idx="1">
                  <c:v>湖州市</c:v>
                </c:pt>
                <c:pt idx="2">
                  <c:v>杭州市</c:v>
                </c:pt>
                <c:pt idx="3">
                  <c:v>丽水市</c:v>
                </c:pt>
                <c:pt idx="4">
                  <c:v>金华市</c:v>
                </c:pt>
                <c:pt idx="5">
                  <c:v>衢州市</c:v>
                </c:pt>
                <c:pt idx="6">
                  <c:v>舟山市</c:v>
                </c:pt>
                <c:pt idx="7">
                  <c:v>绍兴市</c:v>
                </c:pt>
                <c:pt idx="8">
                  <c:v>温州市</c:v>
                </c:pt>
                <c:pt idx="9">
                  <c:v>台州市</c:v>
                </c:pt>
              </c:strCache>
            </c:strRef>
          </c:cat>
          <c:val>
            <c:numRef>
              <c:f>水库!$B$2:$B$11</c:f>
              <c:numCache>
                <c:formatCode>0.00%</c:formatCode>
                <c:ptCount val="10"/>
                <c:pt idx="0">
                  <c:v>1</c:v>
                </c:pt>
                <c:pt idx="1">
                  <c:v>1</c:v>
                </c:pt>
                <c:pt idx="2">
                  <c:v>0.9879</c:v>
                </c:pt>
                <c:pt idx="3">
                  <c:v>0.9813</c:v>
                </c:pt>
                <c:pt idx="4">
                  <c:v>0.9793</c:v>
                </c:pt>
                <c:pt idx="5">
                  <c:v>0.975</c:v>
                </c:pt>
                <c:pt idx="6">
                  <c:v>0.9688</c:v>
                </c:pt>
                <c:pt idx="7">
                  <c:v>0.95</c:v>
                </c:pt>
                <c:pt idx="8">
                  <c:v>0.9269</c:v>
                </c:pt>
                <c:pt idx="9">
                  <c:v>0.8872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150"/>
        <c:axId val="887978304"/>
        <c:axId val="887978696"/>
      </c:barChart>
      <c:lineChart>
        <c:grouping val="standard"/>
        <c:varyColors val="false"/>
        <c:ser>
          <c:idx val="1"/>
          <c:order val="1"/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delete val="true"/>
          </c:dLbls>
          <c:cat>
            <c:strRef>
              <c:f>水库!$A$2:$A$11</c:f>
              <c:strCache>
                <c:ptCount val="10"/>
                <c:pt idx="0">
                  <c:v>宁波市</c:v>
                </c:pt>
                <c:pt idx="1">
                  <c:v>湖州市</c:v>
                </c:pt>
                <c:pt idx="2">
                  <c:v>杭州市</c:v>
                </c:pt>
                <c:pt idx="3">
                  <c:v>丽水市</c:v>
                </c:pt>
                <c:pt idx="4">
                  <c:v>金华市</c:v>
                </c:pt>
                <c:pt idx="5">
                  <c:v>衢州市</c:v>
                </c:pt>
                <c:pt idx="6">
                  <c:v>舟山市</c:v>
                </c:pt>
                <c:pt idx="7">
                  <c:v>绍兴市</c:v>
                </c:pt>
                <c:pt idx="8">
                  <c:v>温州市</c:v>
                </c:pt>
                <c:pt idx="9">
                  <c:v>台州市</c:v>
                </c:pt>
              </c:strCache>
            </c:strRef>
          </c:cat>
          <c:val>
            <c:numRef>
              <c:f>水库!$C$2:$C$11</c:f>
              <c:numCache>
                <c:formatCode>0.00%</c:formatCode>
                <c:ptCount val="10"/>
                <c:pt idx="0">
                  <c:v>0.9547</c:v>
                </c:pt>
                <c:pt idx="1">
                  <c:v>0.9547</c:v>
                </c:pt>
                <c:pt idx="2">
                  <c:v>0.9547</c:v>
                </c:pt>
                <c:pt idx="3">
                  <c:v>0.9547</c:v>
                </c:pt>
                <c:pt idx="4">
                  <c:v>0.9547</c:v>
                </c:pt>
                <c:pt idx="5">
                  <c:v>0.9547</c:v>
                </c:pt>
                <c:pt idx="6">
                  <c:v>0.9547</c:v>
                </c:pt>
                <c:pt idx="7">
                  <c:v>0.9547</c:v>
                </c:pt>
                <c:pt idx="8">
                  <c:v>0.9547</c:v>
                </c:pt>
                <c:pt idx="9">
                  <c:v>0.9547</c:v>
                </c:pt>
              </c:numCache>
            </c:numRef>
          </c:val>
          <c:smooth val="false"/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marker val="false"/>
        <c:smooth val="false"/>
        <c:axId val="887978304"/>
        <c:axId val="887978696"/>
      </c:lineChart>
      <c:catAx>
        <c:axId val="887978304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charset="0"/>
                <a:ea typeface="宋体" charset="-122"/>
                <a:cs typeface="Times New Roman" charset="0"/>
              </a:defRPr>
            </a:pPr>
          </a:p>
        </c:txPr>
        <c:crossAx val="887978696"/>
        <c:crosses val="autoZero"/>
        <c:auto val="true"/>
        <c:lblAlgn val="ctr"/>
        <c:lblOffset val="100"/>
        <c:noMultiLvlLbl val="false"/>
      </c:catAx>
      <c:valAx>
        <c:axId val="887978696"/>
        <c:scaling>
          <c:orientation val="minMax"/>
        </c:scaling>
        <c:delete val="false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.00%" sourceLinked="true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charset="0"/>
                <a:ea typeface="宋体" charset="-122"/>
                <a:cs typeface="Times New Roman" charset="0"/>
              </a:defRPr>
            </a:pPr>
          </a:p>
        </c:txPr>
        <c:crossAx val="887978304"/>
        <c:crosses val="autoZero"/>
        <c:crossBetween val="between"/>
        <c:majorUnit val="0.05"/>
      </c:valAx>
      <c:spPr>
        <a:noFill/>
        <a:ln w="25400">
          <a:noFill/>
        </a:ln>
      </c:spPr>
    </c:plotArea>
    <c:plotVisOnly val="true"/>
    <c:dispBlanksAs val="gap"/>
    <c:showDLblsOverMax val="false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 sz="1000">
          <a:latin typeface="Times New Roman" charset="0"/>
          <a:ea typeface="宋体" charset="-122"/>
          <a:cs typeface="Times New Roman" charset="0"/>
        </a:defRPr>
      </a:pPr>
    </a:p>
  </c:txPr>
  <c:externalData r:id="rId1">
    <c:autoUpdate val="false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true"/>
          <a:lstStyle/>
          <a:p>
            <a:pPr>
              <a:defRPr lang="zh-CN" sz="1200" b="1" i="0" u="none" strike="noStrike" kern="1200" baseline="0">
                <a:solidFill>
                  <a:schemeClr val="tx1"/>
                </a:solidFill>
                <a:latin typeface="Times New Roman" charset="0"/>
                <a:ea typeface="+mn-ea"/>
                <a:cs typeface="Times New Roman" charset="0"/>
              </a:defRPr>
            </a:pPr>
            <a:r>
              <a:rPr lang="zh-CN"/>
              <a:t>水库除险加固分市完成率</a:t>
            </a:r>
            <a:r>
              <a:rPr lang="zh-CN" altLang="en-US"/>
              <a:t>（截至</a:t>
            </a:r>
            <a:r>
              <a:rPr lang="en-US" altLang="zh-CN"/>
              <a:t>7</a:t>
            </a:r>
            <a:r>
              <a:rPr lang="zh-CN" altLang="en-US"/>
              <a:t>月</a:t>
            </a:r>
            <a:r>
              <a:rPr lang="en-US" altLang="zh-CN"/>
              <a:t>31</a:t>
            </a:r>
            <a:r>
              <a:rPr lang="zh-CN" altLang="en-US"/>
              <a:t>日）</a:t>
            </a:r>
            <a:endParaRPr lang="zh-CN"/>
          </a:p>
        </c:rich>
      </c:tx>
      <c:layout/>
      <c:overlay val="false"/>
      <c:spPr>
        <a:noFill/>
        <a:ln>
          <a:noFill/>
        </a:ln>
        <a:effectLst/>
      </c:spPr>
    </c:title>
    <c:autoTitleDeleted val="false"/>
    <c:plotArea>
      <c:layout/>
      <c:barChart>
        <c:barDir val="col"/>
        <c:grouping val="clustered"/>
        <c:varyColors val="false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false"/>
          <c:dPt>
            <c:idx val="7"/>
            <c:invertIfNegative val="false"/>
            <c:bubble3D val="false"/>
            <c:spPr>
              <a:solidFill>
                <a:srgbClr val="FFC000"/>
              </a:solidFill>
              <a:ln>
                <a:noFill/>
              </a:ln>
              <a:effectLst/>
            </c:spPr>
          </c:dPt>
          <c:dPt>
            <c:idx val="8"/>
            <c:invertIfNegative val="false"/>
            <c:bubble3D val="false"/>
            <c:spPr>
              <a:solidFill>
                <a:srgbClr val="FFC000"/>
              </a:solidFill>
              <a:ln>
                <a:noFill/>
              </a:ln>
              <a:effectLst/>
            </c:spPr>
          </c:dPt>
          <c:dPt>
            <c:idx val="9"/>
            <c:invertIfNegative val="false"/>
            <c:bubble3D val="false"/>
            <c:spPr>
              <a:solidFill>
                <a:srgbClr val="FFC000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true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Times New Roman" charset="0"/>
                    <a:ea typeface="+mn-ea"/>
                    <a:cs typeface="Times New Roman" charset="0"/>
                  </a:defRPr>
                </a:pPr>
              </a:p>
            </c:txPr>
            <c:dLblPos val="outEnd"/>
            <c:showLegendKey val="false"/>
            <c:showVal val="true"/>
            <c:showCatName val="false"/>
            <c:showSerName val="false"/>
            <c:showPercent val="false"/>
            <c:showBubbleSize val="false"/>
            <c:showLeaderLines val="false"/>
            <c:extLst>
              <c:ext xmlns:c15="http://schemas.microsoft.com/office/drawing/2012/chart" uri="{CE6537A1-D6FC-4f65-9D91-7224C49458BB}">
                <c15:layout/>
                <c15:showLeaderLines val="false"/>
                <c15:leaderLines/>
              </c:ext>
            </c:extLst>
          </c:dLbls>
          <c:cat>
            <c:strRef>
              <c:f>水库!$A$2:$A$11</c:f>
              <c:strCache>
                <c:ptCount val="10"/>
                <c:pt idx="0">
                  <c:v>宁波市</c:v>
                </c:pt>
                <c:pt idx="1">
                  <c:v>杭州市</c:v>
                </c:pt>
                <c:pt idx="2">
                  <c:v>湖州市</c:v>
                </c:pt>
                <c:pt idx="3">
                  <c:v>舟山市</c:v>
                </c:pt>
                <c:pt idx="4">
                  <c:v>丽水市</c:v>
                </c:pt>
                <c:pt idx="5">
                  <c:v>金华市</c:v>
                </c:pt>
                <c:pt idx="6">
                  <c:v>衢州市</c:v>
                </c:pt>
                <c:pt idx="7">
                  <c:v>绍兴市</c:v>
                </c:pt>
                <c:pt idx="8">
                  <c:v>温州市</c:v>
                </c:pt>
                <c:pt idx="9">
                  <c:v>台州市</c:v>
                </c:pt>
              </c:strCache>
            </c:strRef>
          </c:cat>
          <c:val>
            <c:numRef>
              <c:f>水库!$B$2:$B$11</c:f>
              <c:numCache>
                <c:formatCode>0.00%</c:formatCode>
                <c:ptCount val="10"/>
                <c:pt idx="0">
                  <c:v>1.1667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0.7561</c:v>
                </c:pt>
                <c:pt idx="6">
                  <c:v>0.7391</c:v>
                </c:pt>
                <c:pt idx="7">
                  <c:v>0.3448</c:v>
                </c:pt>
                <c:pt idx="8">
                  <c:v>0.3077</c:v>
                </c:pt>
                <c:pt idx="9">
                  <c:v>0.2791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150"/>
        <c:axId val="887979480"/>
        <c:axId val="887979872"/>
      </c:barChart>
      <c:lineChart>
        <c:grouping val="standard"/>
        <c:varyColors val="false"/>
        <c:ser>
          <c:idx val="1"/>
          <c:order val="1"/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delete val="true"/>
          </c:dLbls>
          <c:cat>
            <c:strRef>
              <c:f>水库!$A$2:$A$11</c:f>
              <c:strCache>
                <c:ptCount val="10"/>
                <c:pt idx="0">
                  <c:v>宁波市</c:v>
                </c:pt>
                <c:pt idx="1">
                  <c:v>杭州市</c:v>
                </c:pt>
                <c:pt idx="2">
                  <c:v>湖州市</c:v>
                </c:pt>
                <c:pt idx="3">
                  <c:v>舟山市</c:v>
                </c:pt>
                <c:pt idx="4">
                  <c:v>丽水市</c:v>
                </c:pt>
                <c:pt idx="5">
                  <c:v>金华市</c:v>
                </c:pt>
                <c:pt idx="6">
                  <c:v>衢州市</c:v>
                </c:pt>
                <c:pt idx="7">
                  <c:v>绍兴市</c:v>
                </c:pt>
                <c:pt idx="8">
                  <c:v>温州市</c:v>
                </c:pt>
                <c:pt idx="9">
                  <c:v>台州市</c:v>
                </c:pt>
              </c:strCache>
            </c:strRef>
          </c:cat>
          <c:val>
            <c:numRef>
              <c:f>水库!$C$2:$C$11</c:f>
              <c:numCache>
                <c:formatCode>0.00%</c:formatCode>
                <c:ptCount val="10"/>
                <c:pt idx="0">
                  <c:v>0.63</c:v>
                </c:pt>
                <c:pt idx="1">
                  <c:v>0.63</c:v>
                </c:pt>
                <c:pt idx="2">
                  <c:v>0.63</c:v>
                </c:pt>
                <c:pt idx="3">
                  <c:v>0.63</c:v>
                </c:pt>
                <c:pt idx="4">
                  <c:v>0.63</c:v>
                </c:pt>
                <c:pt idx="5">
                  <c:v>0.63</c:v>
                </c:pt>
                <c:pt idx="6">
                  <c:v>0.63</c:v>
                </c:pt>
                <c:pt idx="7">
                  <c:v>0.63</c:v>
                </c:pt>
                <c:pt idx="8">
                  <c:v>0.63</c:v>
                </c:pt>
                <c:pt idx="9">
                  <c:v>0.63</c:v>
                </c:pt>
              </c:numCache>
            </c:numRef>
          </c:val>
          <c:smooth val="false"/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marker val="false"/>
        <c:smooth val="false"/>
        <c:axId val="887979480"/>
        <c:axId val="887979872"/>
      </c:lineChart>
      <c:catAx>
        <c:axId val="887979480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charset="0"/>
                <a:ea typeface="+mn-ea"/>
                <a:cs typeface="Times New Roman" charset="0"/>
              </a:defRPr>
            </a:pPr>
          </a:p>
        </c:txPr>
        <c:crossAx val="887979872"/>
        <c:crosses val="autoZero"/>
        <c:auto val="true"/>
        <c:lblAlgn val="ctr"/>
        <c:lblOffset val="100"/>
        <c:noMultiLvlLbl val="false"/>
      </c:catAx>
      <c:valAx>
        <c:axId val="887979872"/>
        <c:scaling>
          <c:orientation val="minMax"/>
        </c:scaling>
        <c:delete val="false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.00%" sourceLinked="true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charset="0"/>
                <a:ea typeface="+mn-ea"/>
                <a:cs typeface="Times New Roman" charset="0"/>
              </a:defRPr>
            </a:pPr>
          </a:p>
        </c:txPr>
        <c:crossAx val="887979480"/>
        <c:crosses val="autoZero"/>
        <c:crossBetween val="between"/>
      </c:valAx>
      <c:spPr>
        <a:noFill/>
        <a:ln w="25400">
          <a:noFill/>
        </a:ln>
      </c:spPr>
    </c:plotArea>
    <c:plotVisOnly val="true"/>
    <c:dispBlanksAs val="gap"/>
    <c:showDLblsOverMax val="false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 sz="1000">
          <a:latin typeface="Times New Roman" charset="0"/>
          <a:ea typeface="+mn-ea"/>
          <a:cs typeface="Times New Roman" charset="0"/>
        </a:defRPr>
      </a:pPr>
    </a:p>
  </c:txPr>
  <c:externalData r:id="rId1">
    <c:autoUpdate val="false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true"/>
          <a:lstStyle/>
          <a:p>
            <a:pPr>
              <a:defRPr lang="zh-CN" sz="1200" b="1" i="0" u="none" strike="noStrike" kern="1200" baseline="0">
                <a:solidFill>
                  <a:schemeClr val="tx1"/>
                </a:solidFill>
                <a:latin typeface="Times New Roman" charset="0"/>
                <a:ea typeface="宋体" charset="-122"/>
                <a:cs typeface="Times New Roman" charset="0"/>
              </a:defRPr>
            </a:pPr>
            <a:r>
              <a:rPr lang="zh-CN"/>
              <a:t>病险山塘</a:t>
            </a:r>
            <a:r>
              <a:rPr lang="zh-CN" altLang="zh-CN" sz="1200" b="1" i="0" u="none" strike="noStrike" baseline="0">
                <a:effectLst/>
              </a:rPr>
              <a:t>整治</a:t>
            </a:r>
            <a:r>
              <a:rPr lang="zh-CN"/>
              <a:t>分市进度</a:t>
            </a:r>
            <a:r>
              <a:rPr lang="zh-CN" altLang="en-US"/>
              <a:t>（截至</a:t>
            </a:r>
            <a:r>
              <a:rPr lang="en-US" altLang="zh-CN"/>
              <a:t>7</a:t>
            </a:r>
            <a:r>
              <a:rPr lang="zh-CN" altLang="en-US"/>
              <a:t>月</a:t>
            </a:r>
            <a:r>
              <a:rPr lang="en-US" altLang="zh-CN"/>
              <a:t>31</a:t>
            </a:r>
            <a:r>
              <a:rPr lang="zh-CN" altLang="en-US"/>
              <a:t>日）</a:t>
            </a:r>
            <a:endParaRPr lang="zh-CN"/>
          </a:p>
        </c:rich>
      </c:tx>
      <c:layout/>
      <c:overlay val="false"/>
      <c:spPr>
        <a:noFill/>
        <a:ln>
          <a:noFill/>
        </a:ln>
        <a:effectLst/>
      </c:spPr>
    </c:title>
    <c:autoTitleDeleted val="false"/>
    <c:plotArea>
      <c:layout/>
      <c:barChart>
        <c:barDir val="col"/>
        <c:grouping val="clustered"/>
        <c:varyColors val="false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false"/>
          <c:dPt>
            <c:idx val="8"/>
            <c:invertIfNegative val="false"/>
            <c:bubble3D val="false"/>
            <c:spPr>
              <a:solidFill>
                <a:srgbClr val="FFC000"/>
              </a:solidFill>
              <a:ln>
                <a:noFill/>
              </a:ln>
              <a:effectLst/>
            </c:spPr>
          </c:dPt>
          <c:dPt>
            <c:idx val="9"/>
            <c:invertIfNegative val="false"/>
            <c:bubble3D val="false"/>
            <c:spPr>
              <a:solidFill>
                <a:srgbClr val="FFC000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true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Times New Roman" charset="0"/>
                    <a:ea typeface="宋体" charset="-122"/>
                    <a:cs typeface="Times New Roman" charset="0"/>
                  </a:defRPr>
                </a:pPr>
              </a:p>
            </c:txPr>
            <c:dLblPos val="outEnd"/>
            <c:showLegendKey val="false"/>
            <c:showVal val="true"/>
            <c:showCatName val="false"/>
            <c:showSerName val="false"/>
            <c:showPercent val="false"/>
            <c:showBubbleSize val="false"/>
            <c:showLeaderLines val="false"/>
            <c:extLst>
              <c:ext xmlns:c15="http://schemas.microsoft.com/office/drawing/2012/chart" uri="{CE6537A1-D6FC-4f65-9D91-7224C49458BB}">
                <c15:layout/>
                <c15:showLeaderLines val="false"/>
                <c15:leaderLines/>
              </c:ext>
            </c:extLst>
          </c:dLbls>
          <c:cat>
            <c:strRef>
              <c:f>山塘!$A$2:$A$11</c:f>
              <c:strCache>
                <c:ptCount val="10"/>
                <c:pt idx="0">
                  <c:v>湖州市</c:v>
                </c:pt>
                <c:pt idx="1">
                  <c:v>丽水市</c:v>
                </c:pt>
                <c:pt idx="2">
                  <c:v>衢州市</c:v>
                </c:pt>
                <c:pt idx="3">
                  <c:v>温州市</c:v>
                </c:pt>
                <c:pt idx="4">
                  <c:v>宁波市</c:v>
                </c:pt>
                <c:pt idx="5">
                  <c:v>金华市</c:v>
                </c:pt>
                <c:pt idx="6">
                  <c:v>杭州市</c:v>
                </c:pt>
                <c:pt idx="7">
                  <c:v>绍兴市</c:v>
                </c:pt>
                <c:pt idx="8">
                  <c:v>舟山市</c:v>
                </c:pt>
                <c:pt idx="9">
                  <c:v>台州市</c:v>
                </c:pt>
              </c:strCache>
            </c:strRef>
          </c:cat>
          <c:val>
            <c:numRef>
              <c:f>山塘!$B$2:$B$11</c:f>
              <c:numCache>
                <c:formatCode>0.00%</c:formatCode>
                <c:ptCount val="10"/>
                <c:pt idx="0">
                  <c:v>1</c:v>
                </c:pt>
                <c:pt idx="1">
                  <c:v>0.9962</c:v>
                </c:pt>
                <c:pt idx="2">
                  <c:v>0.9767</c:v>
                </c:pt>
                <c:pt idx="3">
                  <c:v>0.9733</c:v>
                </c:pt>
                <c:pt idx="4">
                  <c:v>0.9708</c:v>
                </c:pt>
                <c:pt idx="5">
                  <c:v>0.9675</c:v>
                </c:pt>
                <c:pt idx="6">
                  <c:v>0.9669</c:v>
                </c:pt>
                <c:pt idx="7">
                  <c:v>0.9641</c:v>
                </c:pt>
                <c:pt idx="8">
                  <c:v>0.9143</c:v>
                </c:pt>
                <c:pt idx="9">
                  <c:v>0.9069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150"/>
        <c:axId val="887980656"/>
        <c:axId val="887981048"/>
      </c:barChart>
      <c:lineChart>
        <c:grouping val="standard"/>
        <c:varyColors val="false"/>
        <c:ser>
          <c:idx val="1"/>
          <c:order val="1"/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delete val="true"/>
          </c:dLbls>
          <c:cat>
            <c:strRef>
              <c:f>山塘!$A$2:$A$11</c:f>
              <c:strCache>
                <c:ptCount val="10"/>
                <c:pt idx="0">
                  <c:v>湖州市</c:v>
                </c:pt>
                <c:pt idx="1">
                  <c:v>丽水市</c:v>
                </c:pt>
                <c:pt idx="2">
                  <c:v>衢州市</c:v>
                </c:pt>
                <c:pt idx="3">
                  <c:v>温州市</c:v>
                </c:pt>
                <c:pt idx="4">
                  <c:v>宁波市</c:v>
                </c:pt>
                <c:pt idx="5">
                  <c:v>金华市</c:v>
                </c:pt>
                <c:pt idx="6">
                  <c:v>杭州市</c:v>
                </c:pt>
                <c:pt idx="7">
                  <c:v>绍兴市</c:v>
                </c:pt>
                <c:pt idx="8">
                  <c:v>舟山市</c:v>
                </c:pt>
                <c:pt idx="9">
                  <c:v>台州市</c:v>
                </c:pt>
              </c:strCache>
            </c:strRef>
          </c:cat>
          <c:val>
            <c:numRef>
              <c:f>山塘!$C$2:$C$11</c:f>
              <c:numCache>
                <c:formatCode>0.00%</c:formatCode>
                <c:ptCount val="10"/>
                <c:pt idx="0">
                  <c:v>0.9622</c:v>
                </c:pt>
                <c:pt idx="1">
                  <c:v>0.9622</c:v>
                </c:pt>
                <c:pt idx="2">
                  <c:v>0.9622</c:v>
                </c:pt>
                <c:pt idx="3">
                  <c:v>0.9622</c:v>
                </c:pt>
                <c:pt idx="4">
                  <c:v>0.9622</c:v>
                </c:pt>
                <c:pt idx="5">
                  <c:v>0.9622</c:v>
                </c:pt>
                <c:pt idx="6">
                  <c:v>0.9622</c:v>
                </c:pt>
                <c:pt idx="7">
                  <c:v>0.9622</c:v>
                </c:pt>
                <c:pt idx="8">
                  <c:v>0.9622</c:v>
                </c:pt>
                <c:pt idx="9">
                  <c:v>0.9622</c:v>
                </c:pt>
              </c:numCache>
            </c:numRef>
          </c:val>
          <c:smooth val="false"/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marker val="false"/>
        <c:smooth val="false"/>
        <c:axId val="887980656"/>
        <c:axId val="887981048"/>
      </c:lineChart>
      <c:catAx>
        <c:axId val="887980656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charset="0"/>
                <a:ea typeface="宋体" charset="-122"/>
                <a:cs typeface="Times New Roman" charset="0"/>
              </a:defRPr>
            </a:pPr>
          </a:p>
        </c:txPr>
        <c:crossAx val="887981048"/>
        <c:crosses val="autoZero"/>
        <c:auto val="true"/>
        <c:lblAlgn val="ctr"/>
        <c:lblOffset val="100"/>
        <c:noMultiLvlLbl val="false"/>
      </c:catAx>
      <c:valAx>
        <c:axId val="887981048"/>
        <c:scaling>
          <c:orientation val="minMax"/>
        </c:scaling>
        <c:delete val="false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.00%" sourceLinked="true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charset="0"/>
                <a:ea typeface="宋体" charset="-122"/>
                <a:cs typeface="Times New Roman" charset="0"/>
              </a:defRPr>
            </a:pPr>
          </a:p>
        </c:txPr>
        <c:crossAx val="887980656"/>
        <c:crosses val="autoZero"/>
        <c:crossBetween val="between"/>
      </c:valAx>
      <c:spPr>
        <a:noFill/>
        <a:ln w="25400">
          <a:noFill/>
        </a:ln>
      </c:spPr>
    </c:plotArea>
    <c:plotVisOnly val="true"/>
    <c:dispBlanksAs val="gap"/>
    <c:showDLblsOverMax val="false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 sz="1000">
          <a:latin typeface="Times New Roman" charset="0"/>
          <a:ea typeface="宋体" charset="-122"/>
          <a:cs typeface="Times New Roman" charset="0"/>
        </a:defRPr>
      </a:pPr>
    </a:p>
  </c:txPr>
  <c:externalData r:id="rId1">
    <c:autoUpdate val="false"/>
  </c:externalData>
  <c:userShapes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true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true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0.70422</cdr:x>
      <cdr:y>0.36818</cdr:y>
    </cdr:from>
    <cdr:to>
      <cdr:x>0.93226</cdr:x>
      <cdr:y>0.46888</cdr:y>
    </cdr:to>
    <cdr:sp>
      <cdr:nvSpPr>
        <cdr:cNvPr id="2" name="矩形 1"/>
        <cdr:cNvSpPr/>
      </cdr:nvSpPr>
      <cdr:spPr xmlns:a="http://schemas.openxmlformats.org/drawingml/2006/main">
        <a:xfrm xmlns:a="http://schemas.openxmlformats.org/drawingml/2006/main">
          <a:off x="3980776" y="947106"/>
          <a:ext cx="1289056" cy="259045"/>
        </a:xfrm>
        <a:prstGeom xmlns:a="http://schemas.openxmlformats.org/drawingml/2006/main" prst="rect">
          <a:avLst/>
        </a:prstGeom>
        <a:noFill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 xmlns:a="http://schemas.openxmlformats.org/drawingml/2006/main">
        <a:bodyPr vert="horz" wrap="square" lIns="45720" tIns="45720" rIns="45720" bIns="45720" rtlCol="0" anchor="t" anchorCtr="false">
          <a:spAutoFit/>
        </a:bodyPr>
        <a:lstStyle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>
          <a:r>
            <a:rPr lang="zh-CN" altLang="en-US" sz="1000" b="1">
              <a:solidFill>
                <a:schemeClr val="accent2"/>
              </a:solidFill>
              <a:latin typeface="Times New Roman" charset="0"/>
              <a:ea typeface="宋体" charset="-122"/>
              <a:cs typeface="Times New Roman" charset="0"/>
            </a:rPr>
            <a:t>总体完成率</a:t>
          </a:r>
          <a:r>
            <a:rPr lang="en-US" altLang="zh-CN" sz="1000" b="1">
              <a:solidFill>
                <a:schemeClr val="accent2"/>
              </a:solidFill>
              <a:latin typeface="Times New Roman" charset="0"/>
              <a:ea typeface="宋体" charset="-122"/>
              <a:cs typeface="Times New Roman" charset="0"/>
            </a:rPr>
            <a:t>82.02%</a:t>
          </a:r>
          <a:endParaRPr lang="zh-CN" altLang="en-US" sz="1000" b="1">
            <a:solidFill>
              <a:schemeClr val="accent2"/>
            </a:solidFill>
            <a:latin typeface="Times New Roman" charset="0"/>
            <a:ea typeface="宋体" charset="-122"/>
            <a:cs typeface="Times New Roman" charset="0"/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0.73634</cdr:x>
      <cdr:y>0.37407</cdr:y>
    </cdr:from>
    <cdr:to>
      <cdr:x>0.9694</cdr:x>
      <cdr:y>0.48559</cdr:y>
    </cdr:to>
    <cdr:sp>
      <cdr:nvSpPr>
        <cdr:cNvPr id="2" name="矩形 1"/>
        <cdr:cNvSpPr/>
      </cdr:nvSpPr>
      <cdr:spPr xmlns:a="http://schemas.openxmlformats.org/drawingml/2006/main">
        <a:xfrm xmlns:a="http://schemas.openxmlformats.org/drawingml/2006/main">
          <a:off x="4162361" y="868901"/>
          <a:ext cx="1317412" cy="259045"/>
        </a:xfrm>
        <a:prstGeom xmlns:a="http://schemas.openxmlformats.org/drawingml/2006/main" prst="rect">
          <a:avLst/>
        </a:prstGeom>
        <a:noFill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 xmlns:a="http://schemas.openxmlformats.org/drawingml/2006/main">
        <a:bodyPr vert="horz" wrap="square" lIns="45720" tIns="45720" rIns="45720" bIns="45720" rtlCol="0" anchor="t" anchorCtr="false">
          <a:spAutoFit/>
        </a:bodyPr>
        <a:lstStyle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>
          <a:r>
            <a:rPr lang="zh-CN" altLang="en-US" sz="1000" b="1">
              <a:solidFill>
                <a:schemeClr val="accent2"/>
              </a:solidFill>
              <a:latin typeface="Times New Roman" charset="0"/>
              <a:ea typeface="宋体" charset="-122"/>
              <a:cs typeface="Times New Roman" charset="0"/>
            </a:rPr>
            <a:t>平均完成率</a:t>
          </a:r>
          <a:r>
            <a:rPr lang="en-US" altLang="zh-CN" sz="1000" b="1">
              <a:solidFill>
                <a:schemeClr val="accent2"/>
              </a:solidFill>
              <a:latin typeface="Times New Roman" charset="0"/>
              <a:ea typeface="宋体" charset="-122"/>
              <a:cs typeface="Times New Roman" charset="0"/>
            </a:rPr>
            <a:t>112.53%</a:t>
          </a:r>
          <a:endParaRPr lang="zh-CN" altLang="en-US" sz="1000" b="1">
            <a:solidFill>
              <a:schemeClr val="accent2"/>
            </a:solidFill>
            <a:latin typeface="Times New Roman" charset="0"/>
            <a:ea typeface="宋体" charset="-122"/>
            <a:cs typeface="Times New Roman" charset="0"/>
          </a:endParaRP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0.76272</cdr:x>
      <cdr:y>0.25861</cdr:y>
    </cdr:from>
    <cdr:to>
      <cdr:x>0.98927</cdr:x>
      <cdr:y>0.35304</cdr:y>
    </cdr:to>
    <cdr:sp>
      <cdr:nvSpPr>
        <cdr:cNvPr id="2" name="矩形 1"/>
        <cdr:cNvSpPr/>
      </cdr:nvSpPr>
      <cdr:spPr xmlns:a="http://schemas.openxmlformats.org/drawingml/2006/main">
        <a:xfrm xmlns:a="http://schemas.openxmlformats.org/drawingml/2006/main">
          <a:off x="4311462" y="681673"/>
          <a:ext cx="1280635" cy="248906"/>
        </a:xfrm>
        <a:prstGeom xmlns:a="http://schemas.openxmlformats.org/drawingml/2006/main" prst="rect">
          <a:avLst/>
        </a:prstGeom>
        <a:noFill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 xmlns:a="http://schemas.openxmlformats.org/drawingml/2006/main">
        <a:bodyPr vert="horz" wrap="square" lIns="45720" tIns="45720" rIns="45720" bIns="45720" rtlCol="0" anchor="t" anchorCtr="false">
          <a:spAutoFit/>
        </a:bodyPr>
        <a:lstStyle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>
          <a:r>
            <a:rPr lang="zh-CN" altLang="en-US" sz="1000" b="1">
              <a:solidFill>
                <a:schemeClr val="accent2"/>
              </a:solidFill>
              <a:latin typeface="Times New Roman" charset="0"/>
              <a:ea typeface="宋体" charset="-122"/>
              <a:cs typeface="Times New Roman" charset="0"/>
            </a:rPr>
            <a:t>平均进度</a:t>
          </a:r>
          <a:r>
            <a:rPr lang="en-US" altLang="zh-CN" sz="1000" b="1">
              <a:solidFill>
                <a:schemeClr val="accent2"/>
              </a:solidFill>
              <a:latin typeface="Times New Roman" charset="0"/>
              <a:ea typeface="宋体" charset="-122"/>
              <a:cs typeface="Times New Roman" charset="0"/>
            </a:rPr>
            <a:t>99.74%</a:t>
          </a:r>
          <a:endParaRPr lang="zh-CN" altLang="en-US" sz="1000" b="1">
            <a:solidFill>
              <a:schemeClr val="accent2"/>
            </a:solidFill>
            <a:latin typeface="Times New Roman" charset="0"/>
            <a:ea typeface="宋体" charset="-122"/>
            <a:cs typeface="Times New Roman" charset="0"/>
          </a:endParaRP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0.74188</cdr:x>
      <cdr:y>0.39401</cdr:y>
    </cdr:from>
    <cdr:to>
      <cdr:x>0.98815</cdr:x>
      <cdr:y>0.49789</cdr:y>
    </cdr:to>
    <cdr:sp>
      <cdr:nvSpPr>
        <cdr:cNvPr id="2" name="矩形 1"/>
        <cdr:cNvSpPr/>
      </cdr:nvSpPr>
      <cdr:spPr xmlns:a="http://schemas.openxmlformats.org/drawingml/2006/main">
        <a:xfrm xmlns:a="http://schemas.openxmlformats.org/drawingml/2006/main">
          <a:off x="4193683" y="982513"/>
          <a:ext cx="1392107" cy="259045"/>
        </a:xfrm>
        <a:prstGeom xmlns:a="http://schemas.openxmlformats.org/drawingml/2006/main" prst="rect">
          <a:avLst/>
        </a:prstGeom>
        <a:noFill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 xmlns:a="http://schemas.openxmlformats.org/drawingml/2006/main">
        <a:bodyPr vert="horz" wrap="square" lIns="45720" tIns="45720" rIns="45720" bIns="45720" rtlCol="0" anchor="t" anchorCtr="false">
          <a:spAutoFit/>
        </a:bodyPr>
        <a:lstStyle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>
          <a:r>
            <a:rPr lang="zh-CN" altLang="en-US" sz="1000" b="1">
              <a:solidFill>
                <a:schemeClr val="accent2"/>
              </a:solidFill>
              <a:latin typeface="Times New Roman" charset="0"/>
              <a:ea typeface="宋体" charset="-122"/>
              <a:cs typeface="Times New Roman" charset="0"/>
            </a:rPr>
            <a:t>平均完成率</a:t>
          </a:r>
          <a:r>
            <a:rPr lang="en-US" altLang="zh-CN" sz="1000" b="1">
              <a:solidFill>
                <a:schemeClr val="accent2"/>
              </a:solidFill>
              <a:latin typeface="Times New Roman" charset="0"/>
              <a:ea typeface="宋体" charset="-122"/>
              <a:cs typeface="Times New Roman" charset="0"/>
            </a:rPr>
            <a:t>126.09%</a:t>
          </a:r>
          <a:endParaRPr lang="zh-CN" altLang="en-US" sz="1000" b="1">
            <a:solidFill>
              <a:schemeClr val="accent2"/>
            </a:solidFill>
            <a:latin typeface="Times New Roman" charset="0"/>
            <a:ea typeface="宋体" charset="-122"/>
            <a:cs typeface="Times New Roman" charset="0"/>
          </a:endParaRP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0.76019</cdr:x>
      <cdr:y>0.24224</cdr:y>
    </cdr:from>
    <cdr:to>
      <cdr:x>0.99297</cdr:x>
      <cdr:y>0.33667</cdr:y>
    </cdr:to>
    <cdr:sp>
      <cdr:nvSpPr>
        <cdr:cNvPr id="2" name="矩形 1"/>
        <cdr:cNvSpPr/>
      </cdr:nvSpPr>
      <cdr:spPr xmlns:a="http://schemas.openxmlformats.org/drawingml/2006/main">
        <a:xfrm xmlns:a="http://schemas.openxmlformats.org/drawingml/2006/main">
          <a:off x="4297161" y="658962"/>
          <a:ext cx="1315852" cy="256882"/>
        </a:xfrm>
        <a:prstGeom xmlns:a="http://schemas.openxmlformats.org/drawingml/2006/main" prst="rect">
          <a:avLst/>
        </a:prstGeom>
        <a:noFill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 xmlns:a="http://schemas.openxmlformats.org/drawingml/2006/main">
        <a:bodyPr vert="horz" wrap="square" lIns="45720" tIns="45720" rIns="45720" bIns="45720" rtlCol="0" anchor="t" anchorCtr="false">
          <a:spAutoFit/>
        </a:bodyPr>
        <a:lstStyle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>
          <a:r>
            <a:rPr lang="zh-CN" altLang="en-US" sz="1000" b="1">
              <a:solidFill>
                <a:schemeClr val="accent2"/>
              </a:solidFill>
              <a:latin typeface="Times New Roman" charset="0"/>
              <a:ea typeface="宋体" charset="-122"/>
              <a:cs typeface="Times New Roman" charset="0"/>
            </a:rPr>
            <a:t>平均进度</a:t>
          </a:r>
          <a:r>
            <a:rPr lang="en-US" altLang="zh-CN" sz="1000" b="1">
              <a:solidFill>
                <a:schemeClr val="accent2"/>
              </a:solidFill>
              <a:latin typeface="Times New Roman" charset="0"/>
              <a:ea typeface="宋体" charset="-122"/>
              <a:cs typeface="Times New Roman" charset="0"/>
            </a:rPr>
            <a:t>93.15%</a:t>
          </a:r>
          <a:endParaRPr lang="zh-CN" altLang="en-US" sz="1000" b="1">
            <a:solidFill>
              <a:schemeClr val="accent2"/>
            </a:solidFill>
            <a:latin typeface="Times New Roman" charset="0"/>
            <a:ea typeface="宋体" charset="-122"/>
            <a:cs typeface="Times New Roman" charset="0"/>
          </a:endParaRP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0.7726</cdr:x>
      <cdr:y>0.32042</cdr:y>
    </cdr:from>
    <cdr:to>
      <cdr:x>1</cdr:x>
      <cdr:y>0.43166</cdr:y>
    </cdr:to>
    <cdr:sp>
      <cdr:nvSpPr>
        <cdr:cNvPr id="2" name="矩形 1"/>
        <cdr:cNvSpPr/>
      </cdr:nvSpPr>
      <cdr:spPr xmlns:a="http://schemas.openxmlformats.org/drawingml/2006/main">
        <a:xfrm xmlns:a="http://schemas.openxmlformats.org/drawingml/2006/main">
          <a:off x="4367310" y="746105"/>
          <a:ext cx="1285460" cy="259045"/>
        </a:xfrm>
        <a:prstGeom xmlns:a="http://schemas.openxmlformats.org/drawingml/2006/main" prst="rect">
          <a:avLst/>
        </a:prstGeom>
        <a:noFill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 xmlns:a="http://schemas.openxmlformats.org/drawingml/2006/main">
        <a:bodyPr vert="horz" wrap="square" lIns="45720" tIns="45720" rIns="45720" bIns="45720" rtlCol="0" anchor="t" anchorCtr="false">
          <a:spAutoFit/>
        </a:bodyPr>
        <a:lstStyle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>
          <a:r>
            <a:rPr lang="zh-CN" altLang="en-US" sz="1000" b="1">
              <a:solidFill>
                <a:schemeClr val="accent2"/>
              </a:solidFill>
              <a:latin typeface="Times New Roman" charset="0"/>
              <a:ea typeface="宋体" charset="-122"/>
              <a:cs typeface="Times New Roman" charset="0"/>
            </a:rPr>
            <a:t>平均完成率</a:t>
          </a:r>
          <a:r>
            <a:rPr lang="en-US" altLang="zh-CN" sz="1000" b="1">
              <a:solidFill>
                <a:schemeClr val="accent2"/>
              </a:solidFill>
              <a:latin typeface="Times New Roman" charset="0"/>
              <a:ea typeface="宋体" charset="-122"/>
              <a:cs typeface="Times New Roman" charset="0"/>
            </a:rPr>
            <a:t>86.69%</a:t>
          </a:r>
          <a:endParaRPr lang="zh-CN" altLang="en-US" sz="1000" b="1">
            <a:solidFill>
              <a:schemeClr val="accent2"/>
            </a:solidFill>
            <a:latin typeface="Times New Roman" charset="0"/>
            <a:ea typeface="宋体" charset="-122"/>
            <a:cs typeface="Times New Roman" charset="0"/>
          </a:endParaRP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0.7795</cdr:x>
      <cdr:y>0.13881</cdr:y>
    </cdr:from>
    <cdr:to>
      <cdr:x>0.98352</cdr:x>
      <cdr:y>0.24115</cdr:y>
    </cdr:to>
    <cdr:sp>
      <cdr:nvSpPr>
        <cdr:cNvPr id="2" name="矩形 1"/>
        <cdr:cNvSpPr/>
      </cdr:nvSpPr>
      <cdr:spPr xmlns:a="http://schemas.openxmlformats.org/drawingml/2006/main">
        <a:xfrm xmlns:a="http://schemas.openxmlformats.org/drawingml/2006/main">
          <a:off x="4406347" y="351333"/>
          <a:ext cx="1153275" cy="259045"/>
        </a:xfrm>
        <a:prstGeom xmlns:a="http://schemas.openxmlformats.org/drawingml/2006/main" prst="rect">
          <a:avLst/>
        </a:prstGeom>
        <a:noFill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 xmlns:a="http://schemas.openxmlformats.org/drawingml/2006/main">
        <a:bodyPr vert="horz" wrap="square" lIns="45720" tIns="45720" rIns="45720" bIns="45720" rtlCol="0" anchor="t" anchorCtr="false">
          <a:spAutoFit/>
        </a:bodyPr>
        <a:lstStyle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>
          <a:r>
            <a:rPr lang="zh-CN" altLang="en-US" sz="1000" b="1">
              <a:solidFill>
                <a:schemeClr val="accent2"/>
              </a:solidFill>
              <a:latin typeface="Times New Roman" charset="0"/>
              <a:ea typeface="宋体" charset="-122"/>
              <a:cs typeface="Times New Roman" charset="0"/>
            </a:rPr>
            <a:t>平均进度</a:t>
          </a:r>
          <a:r>
            <a:rPr lang="en-US" altLang="zh-CN" sz="1000" b="1">
              <a:solidFill>
                <a:schemeClr val="accent2"/>
              </a:solidFill>
              <a:latin typeface="Times New Roman" charset="0"/>
              <a:ea typeface="宋体" charset="-122"/>
              <a:cs typeface="Times New Roman" charset="0"/>
            </a:rPr>
            <a:t>99.99%</a:t>
          </a:r>
          <a:endParaRPr lang="zh-CN" altLang="en-US" sz="1000" b="1">
            <a:solidFill>
              <a:schemeClr val="accent2"/>
            </a:solidFill>
            <a:latin typeface="Times New Roman" charset="0"/>
            <a:ea typeface="宋体" charset="-122"/>
            <a:cs typeface="Times New Roman" charset="0"/>
          </a:endParaRP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0.71991</cdr:x>
      <cdr:y>0.45086</cdr:y>
    </cdr:from>
    <cdr:to>
      <cdr:x>0.96586</cdr:x>
      <cdr:y>0.57584</cdr:y>
    </cdr:to>
    <cdr:sp>
      <cdr:nvSpPr>
        <cdr:cNvPr id="2" name="矩形 1"/>
        <cdr:cNvSpPr/>
      </cdr:nvSpPr>
      <cdr:spPr xmlns:a="http://schemas.openxmlformats.org/drawingml/2006/main">
        <a:xfrm xmlns:a="http://schemas.openxmlformats.org/drawingml/2006/main">
          <a:off x="4049822" y="934462"/>
          <a:ext cx="1383569" cy="259038"/>
        </a:xfrm>
        <a:prstGeom xmlns:a="http://schemas.openxmlformats.org/drawingml/2006/main" prst="rect">
          <a:avLst/>
        </a:prstGeom>
        <a:noFill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 xmlns:a="http://schemas.openxmlformats.org/drawingml/2006/main">
        <a:bodyPr vert="horz" wrap="square" lIns="45720" tIns="45720" rIns="45720" bIns="45720" rtlCol="0" anchor="t" anchorCtr="false">
          <a:spAutoFit/>
        </a:bodyPr>
        <a:lstStyle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>
          <a:r>
            <a:rPr lang="zh-CN" altLang="en-US" sz="1000" b="1">
              <a:solidFill>
                <a:schemeClr val="accent2"/>
              </a:solidFill>
              <a:latin typeface="Times New Roman" charset="0"/>
              <a:ea typeface="宋体" charset="-122"/>
              <a:cs typeface="Times New Roman" charset="0"/>
            </a:rPr>
            <a:t>平均完成率</a:t>
          </a:r>
          <a:r>
            <a:rPr lang="en-US" altLang="zh-CN" sz="1000" b="1">
              <a:solidFill>
                <a:schemeClr val="accent2"/>
              </a:solidFill>
              <a:latin typeface="Times New Roman" charset="0"/>
              <a:ea typeface="宋体" charset="-122"/>
              <a:cs typeface="Times New Roman" charset="0"/>
            </a:rPr>
            <a:t>44.03%</a:t>
          </a:r>
          <a:endParaRPr lang="zh-CN" altLang="en-US" sz="1000" b="1">
            <a:solidFill>
              <a:schemeClr val="accent2"/>
            </a:solidFill>
            <a:latin typeface="Times New Roman" charset="0"/>
            <a:ea typeface="宋体" charset="-122"/>
            <a:cs typeface="Times New Roman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0.69111</cdr:x>
      <cdr:y>0.26155</cdr:y>
    </cdr:from>
    <cdr:to>
      <cdr:x>0.9353</cdr:x>
      <cdr:y>0.38654</cdr:y>
    </cdr:to>
    <cdr:sp>
      <cdr:nvSpPr>
        <cdr:cNvPr id="2" name="矩形 1"/>
        <cdr:cNvSpPr/>
      </cdr:nvSpPr>
      <cdr:spPr xmlns:a="http://schemas.openxmlformats.org/drawingml/2006/main">
        <a:xfrm xmlns:a="http://schemas.openxmlformats.org/drawingml/2006/main">
          <a:off x="3159755" y="542106"/>
          <a:ext cx="1116459" cy="259045"/>
        </a:xfrm>
        <a:prstGeom xmlns:a="http://schemas.openxmlformats.org/drawingml/2006/main" prst="rect">
          <a:avLst/>
        </a:prstGeom>
        <a:noFill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 xmlns:a="http://schemas.openxmlformats.org/drawingml/2006/main">
        <a:bodyPr vert="horz" wrap="none" lIns="45720" tIns="45720" rIns="45720" bIns="45720" rtlCol="0" anchor="t" anchorCtr="false">
          <a:spAutoFit/>
        </a:bodyPr>
        <a:lstStyle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>
          <a:r>
            <a:rPr lang="zh-CN" altLang="en-US" sz="1000" b="1">
              <a:solidFill>
                <a:schemeClr val="accent2"/>
              </a:solidFill>
              <a:latin typeface="Times New Roman" charset="0"/>
              <a:ea typeface="宋体" charset="-122"/>
              <a:cs typeface="Times New Roman" charset="0"/>
            </a:rPr>
            <a:t>平均进度</a:t>
          </a:r>
          <a:r>
            <a:rPr lang="en-US" altLang="zh-CN" sz="1000" b="1">
              <a:solidFill>
                <a:schemeClr val="accent2"/>
              </a:solidFill>
              <a:latin typeface="Times New Roman" charset="0"/>
              <a:ea typeface="宋体" charset="-122"/>
              <a:cs typeface="Times New Roman" charset="0"/>
            </a:rPr>
            <a:t>72.18%</a:t>
          </a:r>
          <a:endParaRPr lang="zh-CN" altLang="en-US" sz="1000" b="1">
            <a:solidFill>
              <a:schemeClr val="accent2"/>
            </a:solidFill>
            <a:latin typeface="Times New Roman" charset="0"/>
            <a:ea typeface="宋体" charset="-122"/>
            <a:cs typeface="Times New Roman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0.75039</cdr:x>
      <cdr:y>0.30676</cdr:y>
    </cdr:from>
    <cdr:to>
      <cdr:x>0.97843</cdr:x>
      <cdr:y>0.41974</cdr:y>
    </cdr:to>
    <cdr:sp>
      <cdr:nvSpPr>
        <cdr:cNvPr id="2" name="矩形 1"/>
        <cdr:cNvSpPr/>
      </cdr:nvSpPr>
      <cdr:spPr xmlns:a="http://schemas.openxmlformats.org/drawingml/2006/main">
        <a:xfrm xmlns:a="http://schemas.openxmlformats.org/drawingml/2006/main">
          <a:off x="4241799" y="703407"/>
          <a:ext cx="1289056" cy="259045"/>
        </a:xfrm>
        <a:prstGeom xmlns:a="http://schemas.openxmlformats.org/drawingml/2006/main" prst="rect">
          <a:avLst/>
        </a:prstGeom>
        <a:noFill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 xmlns:a="http://schemas.openxmlformats.org/drawingml/2006/main">
        <a:bodyPr vert="horz" wrap="square" lIns="45720" tIns="45720" rIns="45720" bIns="45720" rtlCol="0" anchor="t" anchorCtr="false">
          <a:spAutoFit/>
        </a:bodyPr>
        <a:lstStyle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>
          <a:r>
            <a:rPr lang="zh-CN" altLang="en-US" sz="1000" b="1">
              <a:solidFill>
                <a:schemeClr val="accent2"/>
              </a:solidFill>
              <a:latin typeface="Times New Roman" charset="0"/>
              <a:ea typeface="宋体" charset="-122"/>
              <a:cs typeface="Times New Roman" charset="0"/>
            </a:rPr>
            <a:t>总体完成率</a:t>
          </a:r>
          <a:r>
            <a:rPr lang="en-US" altLang="zh-CN" sz="1000" b="1">
              <a:solidFill>
                <a:schemeClr val="accent2"/>
              </a:solidFill>
              <a:latin typeface="Times New Roman" charset="0"/>
              <a:ea typeface="宋体" charset="-122"/>
              <a:cs typeface="Times New Roman" charset="0"/>
            </a:rPr>
            <a:t>82.02%</a:t>
          </a:r>
          <a:endParaRPr lang="zh-CN" altLang="en-US" sz="1000" b="1">
            <a:solidFill>
              <a:schemeClr val="accent2"/>
            </a:solidFill>
            <a:latin typeface="Times New Roman" charset="0"/>
            <a:ea typeface="宋体" charset="-122"/>
            <a:cs typeface="Times New Roman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0.75774</cdr:x>
      <cdr:y>0.47348</cdr:y>
    </cdr:from>
    <cdr:to>
      <cdr:x>0.98723</cdr:x>
      <cdr:y>0.58385</cdr:y>
    </cdr:to>
    <cdr:sp>
      <cdr:nvSpPr>
        <cdr:cNvPr id="2" name="矩形 1"/>
        <cdr:cNvSpPr/>
      </cdr:nvSpPr>
      <cdr:spPr xmlns:a="http://schemas.openxmlformats.org/drawingml/2006/main">
        <a:xfrm xmlns:a="http://schemas.openxmlformats.org/drawingml/2006/main">
          <a:off x="4302577" y="1111239"/>
          <a:ext cx="1303092" cy="259045"/>
        </a:xfrm>
        <a:prstGeom xmlns:a="http://schemas.openxmlformats.org/drawingml/2006/main" prst="rect">
          <a:avLst/>
        </a:prstGeom>
        <a:noFill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 xmlns:a="http://schemas.openxmlformats.org/drawingml/2006/main">
        <a:bodyPr vert="horz" wrap="square" lIns="45720" tIns="45720" rIns="45720" bIns="45720" rtlCol="0" anchor="t" anchorCtr="false">
          <a:spAutoFit/>
        </a:bodyPr>
        <a:lstStyle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>
          <a:r>
            <a:rPr lang="zh-CN" altLang="en-US" sz="1000" b="1">
              <a:solidFill>
                <a:schemeClr val="accent2"/>
              </a:solidFill>
              <a:latin typeface="Times New Roman" charset="0"/>
              <a:ea typeface="宋体" charset="-122"/>
              <a:cs typeface="Times New Roman" charset="0"/>
            </a:rPr>
            <a:t>平均完成率</a:t>
          </a:r>
          <a:r>
            <a:rPr lang="en-US" altLang="zh-CN" sz="1000" b="1">
              <a:solidFill>
                <a:schemeClr val="accent2"/>
              </a:solidFill>
              <a:latin typeface="Times New Roman" charset="0"/>
              <a:ea typeface="宋体" charset="-122"/>
              <a:cs typeface="Times New Roman" charset="0"/>
            </a:rPr>
            <a:t>59.78%</a:t>
          </a:r>
          <a:endParaRPr lang="zh-CN" altLang="en-US" sz="1000" b="1">
            <a:solidFill>
              <a:schemeClr val="accent2"/>
            </a:solidFill>
            <a:latin typeface="Times New Roman" charset="0"/>
            <a:ea typeface="宋体" charset="-122"/>
            <a:cs typeface="Times New Roman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0.7657</cdr:x>
      <cdr:y>0.27204</cdr:y>
    </cdr:from>
    <cdr:to>
      <cdr:x>0.96321</cdr:x>
      <cdr:y>0.37113</cdr:y>
    </cdr:to>
    <cdr:sp>
      <cdr:nvSpPr>
        <cdr:cNvPr id="2" name="矩形 1"/>
        <cdr:cNvSpPr/>
      </cdr:nvSpPr>
      <cdr:spPr xmlns:a="http://schemas.openxmlformats.org/drawingml/2006/main">
        <a:xfrm xmlns:a="http://schemas.openxmlformats.org/drawingml/2006/main">
          <a:off x="4328335" y="711200"/>
          <a:ext cx="1116459" cy="259045"/>
        </a:xfrm>
        <a:prstGeom xmlns:a="http://schemas.openxmlformats.org/drawingml/2006/main" prst="rect">
          <a:avLst/>
        </a:prstGeom>
        <a:noFill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 xmlns:a="http://schemas.openxmlformats.org/drawingml/2006/main">
        <a:bodyPr vert="horz" wrap="none" lIns="45720" tIns="45720" rIns="45720" bIns="45720" rtlCol="0" anchor="t" anchorCtr="false">
          <a:spAutoFit/>
        </a:bodyPr>
        <a:lstStyle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>
          <a:r>
            <a:rPr lang="zh-CN" altLang="en-US" sz="1000" b="1">
              <a:solidFill>
                <a:schemeClr val="accent2"/>
              </a:solidFill>
              <a:latin typeface="Times New Roman" charset="0"/>
              <a:ea typeface="宋体" charset="-122"/>
              <a:cs typeface="Times New Roman" charset="0"/>
            </a:rPr>
            <a:t>总体进度</a:t>
          </a:r>
          <a:r>
            <a:rPr lang="en-US" altLang="zh-CN" sz="1000" b="1">
              <a:solidFill>
                <a:schemeClr val="accent2"/>
              </a:solidFill>
              <a:latin typeface="Times New Roman" charset="0"/>
              <a:ea typeface="宋体" charset="-122"/>
              <a:cs typeface="Times New Roman" charset="0"/>
            </a:rPr>
            <a:t>98.19%</a:t>
          </a:r>
          <a:endParaRPr lang="zh-CN" altLang="en-US" sz="1000" b="1">
            <a:solidFill>
              <a:schemeClr val="accent2"/>
            </a:solidFill>
            <a:latin typeface="Times New Roman" charset="0"/>
            <a:ea typeface="宋体" charset="-122"/>
            <a:cs typeface="Times New Roman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0.79519</cdr:x>
      <cdr:y>0.33874</cdr:y>
    </cdr:from>
    <cdr:to>
      <cdr:x>0.99268</cdr:x>
      <cdr:y>0.43931</cdr:y>
    </cdr:to>
    <cdr:sp>
      <cdr:nvSpPr>
        <cdr:cNvPr id="2" name="矩形 1"/>
        <cdr:cNvSpPr/>
      </cdr:nvSpPr>
      <cdr:spPr xmlns:a="http://schemas.openxmlformats.org/drawingml/2006/main">
        <a:xfrm xmlns:a="http://schemas.openxmlformats.org/drawingml/2006/main">
          <a:off x="4510156" y="872435"/>
          <a:ext cx="1120140" cy="259045"/>
        </a:xfrm>
        <a:prstGeom xmlns:a="http://schemas.openxmlformats.org/drawingml/2006/main" prst="rect">
          <a:avLst/>
        </a:prstGeom>
        <a:noFill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 xmlns:a="http://schemas.openxmlformats.org/drawingml/2006/main">
        <a:bodyPr vert="horz" wrap="square" lIns="45720" tIns="45720" rIns="45720" bIns="45720" rtlCol="0" anchor="t" anchorCtr="false">
          <a:spAutoFit/>
        </a:bodyPr>
        <a:lstStyle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>
          <a:r>
            <a:rPr lang="zh-CN" altLang="en-US" sz="1000" b="1">
              <a:solidFill>
                <a:schemeClr val="accent2"/>
              </a:solidFill>
              <a:latin typeface="Times New Roman" charset="0"/>
              <a:ea typeface="宋体" charset="-122"/>
              <a:cs typeface="Times New Roman" charset="0"/>
            </a:rPr>
            <a:t>平均进度</a:t>
          </a:r>
          <a:r>
            <a:rPr lang="en-US" altLang="zh-CN" sz="1000" b="1">
              <a:solidFill>
                <a:schemeClr val="accent2"/>
              </a:solidFill>
              <a:latin typeface="Times New Roman" charset="0"/>
              <a:ea typeface="宋体" charset="-122"/>
              <a:cs typeface="Times New Roman" charset="0"/>
            </a:rPr>
            <a:t>96.22%</a:t>
          </a:r>
          <a:endParaRPr lang="zh-CN" altLang="en-US" sz="1000" b="1">
            <a:solidFill>
              <a:schemeClr val="accent2"/>
            </a:solidFill>
            <a:latin typeface="Times New Roman" charset="0"/>
            <a:ea typeface="宋体" charset="-122"/>
            <a:cs typeface="Times New Roman" charset="0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0.79232</cdr:x>
      <cdr:y>0.33913</cdr:y>
    </cdr:from>
    <cdr:to>
      <cdr:x>0.99441</cdr:x>
      <cdr:y>0.4397</cdr:y>
    </cdr:to>
    <cdr:sp>
      <cdr:nvSpPr>
        <cdr:cNvPr id="2" name="矩形 1"/>
        <cdr:cNvSpPr/>
      </cdr:nvSpPr>
      <cdr:spPr xmlns:a="http://schemas.openxmlformats.org/drawingml/2006/main">
        <a:xfrm xmlns:a="http://schemas.openxmlformats.org/drawingml/2006/main">
          <a:off x="4498928" y="873455"/>
          <a:ext cx="1147501" cy="259025"/>
        </a:xfrm>
        <a:prstGeom xmlns:a="http://schemas.openxmlformats.org/drawingml/2006/main" prst="rect">
          <a:avLst/>
        </a:prstGeom>
        <a:noFill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 xmlns:a="http://schemas.openxmlformats.org/drawingml/2006/main">
        <a:bodyPr vert="horz" wrap="none" lIns="45720" tIns="45720" rIns="45720" bIns="45720" rtlCol="0" anchor="t" anchorCtr="false">
          <a:spAutoFit/>
        </a:bodyPr>
        <a:lstStyle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>
          <a:r>
            <a:rPr lang="zh-CN" altLang="en-US" sz="1000" b="1">
              <a:solidFill>
                <a:schemeClr val="accent2"/>
              </a:solidFill>
              <a:latin typeface="Times New Roman" charset="0"/>
              <a:ea typeface="宋体" charset="-122"/>
              <a:cs typeface="Times New Roman" charset="0"/>
            </a:rPr>
            <a:t>平均进度</a:t>
          </a:r>
          <a:r>
            <a:rPr lang="en-US" altLang="zh-CN" sz="1000" b="1">
              <a:solidFill>
                <a:schemeClr val="accent2"/>
              </a:solidFill>
              <a:latin typeface="Times New Roman" charset="0"/>
              <a:ea typeface="宋体" charset="-122"/>
              <a:cs typeface="Times New Roman" charset="0"/>
            </a:rPr>
            <a:t>95.47%</a:t>
          </a:r>
          <a:endParaRPr lang="zh-CN" altLang="en-US" sz="1000" b="1">
            <a:solidFill>
              <a:schemeClr val="accent2"/>
            </a:solidFill>
            <a:latin typeface="Times New Roman" charset="0"/>
            <a:ea typeface="宋体" charset="-122"/>
            <a:cs typeface="Times New Roman" charset="0"/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0.74928</cdr:x>
      <cdr:y>0.45574</cdr:y>
    </cdr:from>
    <cdr:to>
      <cdr:x>0.98369</cdr:x>
      <cdr:y>0.56406</cdr:y>
    </cdr:to>
    <cdr:sp>
      <cdr:nvSpPr>
        <cdr:cNvPr id="2" name="矩形 1"/>
        <cdr:cNvSpPr/>
      </cdr:nvSpPr>
      <cdr:spPr xmlns:a="http://schemas.openxmlformats.org/drawingml/2006/main">
        <a:xfrm xmlns:a="http://schemas.openxmlformats.org/drawingml/2006/main">
          <a:off x="4259767" y="1089856"/>
          <a:ext cx="1332650" cy="259045"/>
        </a:xfrm>
        <a:prstGeom xmlns:a="http://schemas.openxmlformats.org/drawingml/2006/main" prst="rect">
          <a:avLst/>
        </a:prstGeom>
        <a:noFill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 xmlns:a="http://schemas.openxmlformats.org/drawingml/2006/main">
        <a:bodyPr vert="horz" wrap="square" lIns="45720" tIns="45720" rIns="45720" bIns="45720" rtlCol="0" anchor="t" anchorCtr="false">
          <a:spAutoFit/>
        </a:bodyPr>
        <a:lstStyle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>
          <a:r>
            <a:rPr lang="zh-CN" altLang="en-US" sz="1000" b="1">
              <a:solidFill>
                <a:schemeClr val="accent2"/>
              </a:solidFill>
              <a:latin typeface="Times New Roman" charset="0"/>
              <a:ea typeface="宋体" charset="-122"/>
              <a:cs typeface="Times New Roman" charset="0"/>
            </a:rPr>
            <a:t>平均完成率</a:t>
          </a:r>
          <a:r>
            <a:rPr lang="en-US" altLang="zh-CN" sz="1000" b="1">
              <a:solidFill>
                <a:schemeClr val="accent2"/>
              </a:solidFill>
              <a:latin typeface="Times New Roman" charset="0"/>
              <a:ea typeface="宋体" charset="-122"/>
              <a:cs typeface="Times New Roman" charset="0"/>
            </a:rPr>
            <a:t>63.00%</a:t>
          </a:r>
          <a:endParaRPr lang="zh-CN" altLang="en-US" sz="1000" b="1">
            <a:solidFill>
              <a:schemeClr val="accent2"/>
            </a:solidFill>
            <a:latin typeface="Times New Roman" charset="0"/>
            <a:ea typeface="宋体" charset="-122"/>
            <a:cs typeface="Times New Roman" charset="0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0.73787</cdr:x>
      <cdr:y>0.12751</cdr:y>
    </cdr:from>
    <cdr:to>
      <cdr:x>0.90231</cdr:x>
      <cdr:y>0.22194</cdr:y>
    </cdr:to>
    <cdr:sp>
      <cdr:nvSpPr>
        <cdr:cNvPr id="2" name="矩形 1"/>
        <cdr:cNvSpPr/>
      </cdr:nvSpPr>
      <cdr:spPr xmlns:a="http://schemas.openxmlformats.org/drawingml/2006/main">
        <a:xfrm xmlns:a="http://schemas.openxmlformats.org/drawingml/2006/main">
          <a:off x="4170986" y="297562"/>
          <a:ext cx="929542" cy="220364"/>
        </a:xfrm>
        <a:prstGeom xmlns:a="http://schemas.openxmlformats.org/drawingml/2006/main" prst="rect">
          <a:avLst/>
        </a:prstGeom>
        <a:noFill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 xmlns:a="http://schemas.openxmlformats.org/drawingml/2006/main">
        <a:bodyPr vert="horz" wrap="none" lIns="45720" tIns="45720" rIns="45720" bIns="45720" rtlCol="0" anchor="t" anchorCtr="false">
          <a:spAutoFit/>
        </a:bodyPr>
        <a:lstStyle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>
          <a:r>
            <a:rPr lang="zh-CN" altLang="en-US" sz="1000" b="1">
              <a:solidFill>
                <a:schemeClr val="accent2"/>
              </a:solidFill>
              <a:latin typeface="Times New Roman" charset="0"/>
              <a:ea typeface="宋体" charset="-122"/>
              <a:cs typeface="Times New Roman" charset="0"/>
            </a:rPr>
            <a:t>总体进度</a:t>
          </a:r>
          <a:r>
            <a:rPr lang="en-US" altLang="zh-CN" sz="1000" b="1">
              <a:solidFill>
                <a:schemeClr val="accent2"/>
              </a:solidFill>
              <a:latin typeface="Times New Roman" charset="0"/>
              <a:ea typeface="宋体" charset="-122"/>
              <a:cs typeface="Times New Roman" charset="0"/>
            </a:rPr>
            <a:t>98.19%</a:t>
          </a:r>
          <a:endParaRPr lang="zh-CN" altLang="en-US" sz="1000" b="1">
            <a:solidFill>
              <a:schemeClr val="accent2"/>
            </a:solidFill>
            <a:latin typeface="Times New Roman" charset="0"/>
            <a:ea typeface="宋体" charset="-122"/>
            <a:cs typeface="Times New Roman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298</Words>
  <Characters>1700</Characters>
  <Lines>14</Lines>
  <Paragraphs>3</Paragraphs>
  <TotalTime>26</TotalTime>
  <ScaleCrop>false</ScaleCrop>
  <LinksUpToDate>false</LinksUpToDate>
  <CharactersWithSpaces>1995</CharactersWithSpaces>
  <Application>WPS Office_11.8.2.10458_F1E327BC-269C-435d-A152-05C5408002CA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2022-08-12T08:45:00Z</dcterms:created>
  <dc:creator>afey2010@163.com</dc:creator>
  <cp:lastModifiedBy>ruijie</cp:lastModifiedBy>
  <cp:lastPrinted>2022-05-02T10:28:00Z</cp:lastPrinted>
  <dcterms:modified xsi:type="dcterms:W3CDTF">2022-08-12T09:39:31Z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  <property fmtid="{D5CDD505-2E9C-101B-9397-08002B2CF9AE}" pid="3" name="woTemplateTypoMode" linkTarget="0">
    <vt:lpwstr>web</vt:lpwstr>
  </property>
  <property fmtid="{D5CDD505-2E9C-101B-9397-08002B2CF9AE}" pid="4" name="woTemplate" linkTarget="0">
    <vt:i4>1</vt:i4>
  </property>
</Properties>
</file>