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水利民生实事</w:t>
      </w:r>
      <w:r>
        <w:rPr>
          <w:rFonts w:hint="eastAsia" w:ascii="Times New Roman" w:hAnsi="Times New Roman" w:eastAsia="方正小标宋简体"/>
          <w:sz w:val="44"/>
          <w:szCs w:val="44"/>
          <w:lang w:val="en-US" w:eastAsia="zh-CN"/>
        </w:rPr>
        <w:t>4月</w:t>
      </w:r>
      <w:bookmarkStart w:id="0" w:name="_GoBack"/>
      <w:bookmarkEnd w:id="0"/>
      <w:r>
        <w:rPr>
          <w:rFonts w:ascii="Times New Roman" w:hAnsi="Times New Roman" w:eastAsia="方正小标宋简体"/>
          <w:sz w:val="44"/>
          <w:szCs w:val="44"/>
        </w:rPr>
        <w:t>工作进展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sz w:val="32"/>
          <w:szCs w:val="32"/>
          <w:lang w:bidi="ar"/>
        </w:rPr>
      </w:pPr>
      <w:r>
        <w:rPr>
          <w:rFonts w:hint="eastAsia" w:ascii="楷体_GB2312" w:hAnsi="楷体_GB2312" w:eastAsia="楷体_GB2312" w:cs="楷体_GB2312"/>
          <w:sz w:val="32"/>
          <w:szCs w:val="32"/>
          <w:lang w:bidi="ar"/>
        </w:rPr>
        <w:t>（截至</w:t>
      </w:r>
      <w:r>
        <w:rPr>
          <w:rFonts w:hint="eastAsia" w:ascii="Times New Roman" w:hAnsi="Times New Roman" w:eastAsia="仿宋_GB2312"/>
          <w:sz w:val="32"/>
          <w:szCs w:val="32"/>
          <w:lang w:bidi="ar"/>
        </w:rPr>
        <w:t>4月</w:t>
      </w:r>
      <w:r>
        <w:rPr>
          <w:rFonts w:hint="eastAsia" w:ascii="Times New Roman" w:hAnsi="Times New Roman" w:eastAsia="仿宋_GB2312"/>
          <w:sz w:val="32"/>
          <w:szCs w:val="32"/>
          <w:lang w:val="en-US" w:eastAsia="zh-CN" w:bidi="ar"/>
        </w:rPr>
        <w:t>30</w:t>
      </w:r>
      <w:r>
        <w:rPr>
          <w:rFonts w:hint="eastAsia" w:ascii="楷体_GB2312" w:hAnsi="楷体_GB2312" w:eastAsia="楷体_GB2312" w:cs="楷体_GB2312"/>
          <w:sz w:val="32"/>
          <w:szCs w:val="32"/>
          <w:lang w:bidi="ar"/>
        </w:rPr>
        <w:t>日）</w:t>
      </w:r>
    </w:p>
    <w:p>
      <w:pPr>
        <w:widowControl/>
        <w:spacing w:line="440" w:lineRule="exact"/>
        <w:jc w:val="left"/>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2022年1月17日，省政府工作报告将为民办实事作为高质量发展建设共同富裕示范区的重要内容，着眼解决群众</w:t>
      </w:r>
      <w:r>
        <w:rPr>
          <w:rFonts w:hint="eastAsia" w:ascii="Times New Roman" w:hAnsi="Times New Roman" w:eastAsia="仿宋_GB2312"/>
          <w:sz w:val="32"/>
          <w:szCs w:val="32"/>
          <w:lang w:eastAsia="zh-CN" w:bidi="ar"/>
        </w:rPr>
        <w:t>“</w:t>
      </w:r>
      <w:r>
        <w:rPr>
          <w:rFonts w:ascii="Times New Roman" w:hAnsi="Times New Roman" w:eastAsia="仿宋_GB2312"/>
          <w:sz w:val="32"/>
          <w:szCs w:val="32"/>
          <w:lang w:bidi="ar"/>
        </w:rPr>
        <w:t>急难愁盼</w:t>
      </w:r>
      <w:r>
        <w:rPr>
          <w:rFonts w:hint="eastAsia" w:ascii="Times New Roman" w:hAnsi="Times New Roman" w:eastAsia="仿宋_GB2312"/>
          <w:sz w:val="32"/>
          <w:szCs w:val="32"/>
          <w:lang w:eastAsia="zh-CN" w:bidi="ar"/>
        </w:rPr>
        <w:t>”</w:t>
      </w:r>
      <w:r>
        <w:rPr>
          <w:rFonts w:ascii="Times New Roman" w:hAnsi="Times New Roman" w:eastAsia="仿宋_GB2312"/>
          <w:sz w:val="32"/>
          <w:szCs w:val="32"/>
          <w:lang w:bidi="ar"/>
        </w:rPr>
        <w:t>，确定十方面民生实事。水利系统具体负责</w:t>
      </w:r>
      <w:r>
        <w:rPr>
          <w:rFonts w:hint="eastAsia" w:ascii="Times New Roman" w:hAnsi="Times New Roman" w:eastAsia="仿宋_GB2312"/>
          <w:sz w:val="32"/>
          <w:szCs w:val="32"/>
          <w:lang w:eastAsia="zh-CN" w:bidi="ar"/>
        </w:rPr>
        <w:t>“</w:t>
      </w:r>
      <w:r>
        <w:rPr>
          <w:rFonts w:ascii="Times New Roman" w:hAnsi="Times New Roman" w:eastAsia="仿宋_GB2312"/>
          <w:sz w:val="32"/>
          <w:szCs w:val="32"/>
          <w:lang w:bidi="ar"/>
        </w:rPr>
        <w:t>浙里平安</w:t>
      </w:r>
      <w:r>
        <w:rPr>
          <w:rFonts w:hint="eastAsia" w:ascii="Times New Roman" w:hAnsi="Times New Roman" w:eastAsia="仿宋_GB2312"/>
          <w:sz w:val="32"/>
          <w:szCs w:val="32"/>
          <w:lang w:eastAsia="zh-CN" w:bidi="ar"/>
        </w:rPr>
        <w:t>”</w:t>
      </w:r>
      <w:r>
        <w:rPr>
          <w:rFonts w:ascii="Times New Roman" w:hAnsi="Times New Roman" w:eastAsia="仿宋_GB2312"/>
          <w:sz w:val="32"/>
          <w:szCs w:val="32"/>
          <w:lang w:bidi="ar"/>
        </w:rPr>
        <w:t>民生实事，具体包括：新开工提标加固海塘240公里、完成病险水库除险加固200座、山塘整治450座、提升改造农业灌溉泵站机埠和堰坝水闸1500座、改造农村供水管网2800公里、完成中小河流综合治理500公里等6项水利建设任务</w:t>
      </w:r>
      <w:r>
        <w:rPr>
          <w:rFonts w:hint="eastAsia" w:ascii="Times New Roman" w:hAnsi="Times New Roman" w:eastAsia="仿宋_GB2312"/>
          <w:sz w:val="32"/>
          <w:szCs w:val="32"/>
          <w:lang w:eastAsia="zh-CN" w:bidi="ar"/>
        </w:rPr>
        <w:t>，共计</w:t>
      </w:r>
      <w:r>
        <w:rPr>
          <w:rFonts w:hint="eastAsia" w:ascii="Times New Roman" w:hAnsi="Times New Roman" w:eastAsia="仿宋_GB2312"/>
          <w:sz w:val="32"/>
          <w:szCs w:val="32"/>
          <w:lang w:val="en-US" w:eastAsia="zh-CN" w:bidi="ar"/>
        </w:rPr>
        <w:t>2602个项目</w:t>
      </w:r>
      <w:r>
        <w:rPr>
          <w:rFonts w:ascii="Times New Roman" w:hAnsi="Times New Roman" w:eastAsia="仿宋_GB2312"/>
          <w:sz w:val="32"/>
          <w:szCs w:val="32"/>
          <w:lang w:bidi="ar"/>
        </w:rPr>
        <w:t>。</w:t>
      </w:r>
    </w:p>
    <w:p>
      <w:pPr>
        <w:numPr>
          <w:ilvl w:val="255"/>
          <w:numId w:val="0"/>
        </w:num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一、总体进展</w:t>
      </w:r>
    </w:p>
    <w:p>
      <w:pPr>
        <w:pStyle w:val="16"/>
        <w:spacing w:line="560" w:lineRule="exact"/>
        <w:ind w:left="0" w:leftChars="0"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截至4月30日，</w:t>
      </w:r>
      <w:r>
        <w:rPr>
          <w:rFonts w:hint="eastAsia" w:ascii="Times New Roman" w:hAnsi="Times New Roman" w:eastAsia="仿宋_GB2312" w:cs="Times New Roman"/>
          <w:sz w:val="32"/>
          <w:szCs w:val="32"/>
          <w:lang w:eastAsia="zh-CN"/>
        </w:rPr>
        <w:t>水利民生实事总体</w:t>
      </w:r>
      <w:r>
        <w:rPr>
          <w:rFonts w:ascii="Times New Roman" w:hAnsi="Times New Roman" w:eastAsia="仿宋_GB2312" w:cs="Times New Roman"/>
          <w:sz w:val="32"/>
          <w:szCs w:val="32"/>
        </w:rPr>
        <w:t>平均进度76.74%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w:t>
      </w:r>
      <w:r>
        <w:rPr>
          <w:rFonts w:ascii="Times New Roman" w:hAnsi="Times New Roman" w:eastAsia="仿宋_GB2312" w:cs="Times New Roman"/>
          <w:sz w:val="32"/>
          <w:szCs w:val="32"/>
        </w:rPr>
        <w:t>已开工</w:t>
      </w:r>
      <w:r>
        <w:rPr>
          <w:rFonts w:hint="eastAsia" w:ascii="Times New Roman" w:hAnsi="Times New Roman" w:eastAsia="仿宋_GB2312" w:cs="Times New Roman"/>
          <w:sz w:val="32"/>
          <w:szCs w:val="32"/>
          <w:lang w:eastAsia="zh-CN"/>
        </w:rPr>
        <w:t>项目</w:t>
      </w:r>
      <w:r>
        <w:rPr>
          <w:rFonts w:ascii="Times New Roman" w:hAnsi="Times New Roman" w:eastAsia="仿宋_GB2312" w:cs="Times New Roman"/>
          <w:sz w:val="32"/>
          <w:szCs w:val="32"/>
        </w:rPr>
        <w:t>2466个，开工率94.77%</w:t>
      </w:r>
      <w:r>
        <w:rPr>
          <w:rFonts w:hint="eastAsia" w:ascii="Times New Roman" w:hAnsi="Times New Roman" w:eastAsia="仿宋_GB2312" w:cs="Times New Roman"/>
          <w:sz w:val="32"/>
          <w:szCs w:val="32"/>
        </w:rPr>
        <w:t>；已完工</w:t>
      </w:r>
      <w:r>
        <w:rPr>
          <w:rFonts w:hint="eastAsia" w:ascii="Times New Roman" w:hAnsi="Times New Roman" w:eastAsia="仿宋_GB2312" w:cs="Times New Roman"/>
          <w:sz w:val="32"/>
          <w:szCs w:val="32"/>
          <w:lang w:eastAsia="zh-CN"/>
        </w:rPr>
        <w:t>项目</w:t>
      </w:r>
      <w:r>
        <w:rPr>
          <w:rFonts w:ascii="Times New Roman" w:hAnsi="Times New Roman" w:eastAsia="仿宋_GB2312" w:cs="Times New Roman"/>
          <w:sz w:val="32"/>
          <w:szCs w:val="32"/>
        </w:rPr>
        <w:t>376</w:t>
      </w:r>
      <w:r>
        <w:rPr>
          <w:rFonts w:hint="eastAsia" w:ascii="Times New Roman" w:hAnsi="Times New Roman" w:eastAsia="仿宋_GB2312" w:cs="Times New Roman"/>
          <w:sz w:val="32"/>
          <w:szCs w:val="32"/>
        </w:rPr>
        <w:t>个，完工率</w:t>
      </w:r>
      <w:r>
        <w:rPr>
          <w:rFonts w:ascii="Times New Roman" w:hAnsi="Times New Roman" w:eastAsia="仿宋_GB2312" w:cs="Times New Roman"/>
          <w:sz w:val="32"/>
          <w:szCs w:val="32"/>
        </w:rPr>
        <w:t>14.45</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4月份，</w:t>
      </w:r>
      <w:r>
        <w:rPr>
          <w:rFonts w:ascii="Times New Roman" w:hAnsi="Times New Roman" w:eastAsia="仿宋_GB2312" w:cs="Times New Roman"/>
          <w:sz w:val="32"/>
          <w:szCs w:val="32"/>
        </w:rPr>
        <w:t>新</w:t>
      </w:r>
      <w:r>
        <w:rPr>
          <w:rFonts w:hint="eastAsia" w:ascii="Times New Roman" w:hAnsi="Times New Roman" w:eastAsia="仿宋_GB2312" w:cs="Times New Roman"/>
          <w:sz w:val="32"/>
          <w:szCs w:val="32"/>
          <w:lang w:eastAsia="zh-CN"/>
        </w:rPr>
        <w:t>增</w:t>
      </w:r>
      <w:r>
        <w:rPr>
          <w:rFonts w:hint="eastAsia" w:ascii="Times New Roman" w:hAnsi="Times New Roman" w:eastAsia="仿宋_GB2312" w:cs="Times New Roman"/>
          <w:sz w:val="32"/>
          <w:szCs w:val="32"/>
        </w:rPr>
        <w:t>开工</w:t>
      </w:r>
      <w:r>
        <w:rPr>
          <w:rFonts w:hint="eastAsia" w:ascii="Times New Roman" w:hAnsi="Times New Roman" w:eastAsia="仿宋_GB2312" w:cs="Times New Roman"/>
          <w:sz w:val="32"/>
          <w:szCs w:val="32"/>
          <w:lang w:eastAsia="zh-CN"/>
        </w:rPr>
        <w:t>项目</w:t>
      </w:r>
      <w:r>
        <w:rPr>
          <w:rFonts w:ascii="Times New Roman" w:hAnsi="Times New Roman" w:eastAsia="仿宋_GB2312" w:cs="Times New Roman"/>
          <w:sz w:val="32"/>
          <w:szCs w:val="32"/>
        </w:rPr>
        <w:t>444个</w:t>
      </w:r>
      <w:r>
        <w:rPr>
          <w:rFonts w:hint="eastAsia" w:ascii="Times New Roman" w:hAnsi="Times New Roman" w:eastAsia="仿宋_GB2312" w:cs="Times New Roman"/>
          <w:sz w:val="32"/>
          <w:szCs w:val="32"/>
        </w:rPr>
        <w:t>、新</w:t>
      </w:r>
      <w:r>
        <w:rPr>
          <w:rFonts w:hint="eastAsia" w:ascii="Times New Roman" w:hAnsi="Times New Roman" w:eastAsia="仿宋_GB2312" w:cs="Times New Roman"/>
          <w:sz w:val="32"/>
          <w:szCs w:val="32"/>
          <w:lang w:eastAsia="zh-CN"/>
        </w:rPr>
        <w:t>增</w:t>
      </w:r>
      <w:r>
        <w:rPr>
          <w:rFonts w:ascii="Times New Roman" w:hAnsi="Times New Roman" w:eastAsia="仿宋_GB2312" w:cs="Times New Roman"/>
          <w:sz w:val="32"/>
          <w:szCs w:val="32"/>
        </w:rPr>
        <w:t>完工</w:t>
      </w:r>
      <w:r>
        <w:rPr>
          <w:rFonts w:hint="eastAsia" w:ascii="Times New Roman" w:hAnsi="Times New Roman" w:eastAsia="仿宋_GB2312" w:cs="Times New Roman"/>
          <w:sz w:val="32"/>
          <w:szCs w:val="32"/>
          <w:lang w:eastAsia="zh-CN"/>
        </w:rPr>
        <w:t>项目</w:t>
      </w:r>
      <w:r>
        <w:rPr>
          <w:rFonts w:ascii="Times New Roman" w:hAnsi="Times New Roman" w:eastAsia="仿宋_GB2312" w:cs="Times New Roman"/>
          <w:sz w:val="32"/>
          <w:szCs w:val="32"/>
        </w:rPr>
        <w:t>174个</w:t>
      </w:r>
      <w:r>
        <w:rPr>
          <w:rFonts w:hint="eastAsia" w:ascii="Times New Roman" w:hAnsi="Times New Roman" w:eastAsia="仿宋_GB2312" w:cs="Times New Roman"/>
          <w:sz w:val="32"/>
          <w:szCs w:val="32"/>
        </w:rPr>
        <w:t>。</w:t>
      </w:r>
    </w:p>
    <w:p>
      <w:pPr>
        <w:pStyle w:val="16"/>
        <w:spacing w:line="560" w:lineRule="exact"/>
        <w:ind w:left="0" w:leftChars="0"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eastAsia="zh-CN"/>
        </w:rPr>
        <w:t>分项看，</w:t>
      </w:r>
      <w:r>
        <w:rPr>
          <w:rFonts w:ascii="Times New Roman" w:hAnsi="Times New Roman" w:eastAsia="仿宋_GB2312" w:cs="Times New Roman"/>
          <w:sz w:val="32"/>
          <w:szCs w:val="32"/>
        </w:rPr>
        <w:t>改造供水管网</w:t>
      </w:r>
      <w:r>
        <w:rPr>
          <w:rFonts w:hint="eastAsia" w:ascii="Times New Roman" w:hAnsi="Times New Roman" w:eastAsia="仿宋_GB2312" w:cs="Times New Roman"/>
          <w:sz w:val="32"/>
          <w:szCs w:val="32"/>
        </w:rPr>
        <w:t>、提升改造灌溉设施、</w:t>
      </w:r>
      <w:r>
        <w:rPr>
          <w:rFonts w:ascii="Times New Roman" w:hAnsi="Times New Roman" w:eastAsia="仿宋_GB2312" w:cs="Times New Roman"/>
          <w:sz w:val="32"/>
          <w:szCs w:val="32"/>
        </w:rPr>
        <w:t>水库除险加固</w:t>
      </w:r>
      <w:r>
        <w:rPr>
          <w:rFonts w:hint="eastAsia" w:ascii="Times New Roman" w:hAnsi="Times New Roman" w:eastAsia="仿宋_GB2312" w:cs="Times New Roman"/>
          <w:sz w:val="32"/>
          <w:szCs w:val="32"/>
          <w:lang w:eastAsia="zh-CN"/>
        </w:rPr>
        <w:t>实施</w:t>
      </w:r>
      <w:r>
        <w:rPr>
          <w:rFonts w:ascii="Times New Roman" w:hAnsi="Times New Roman" w:eastAsia="仿宋_GB2312" w:cs="Times New Roman"/>
          <w:sz w:val="32"/>
          <w:szCs w:val="32"/>
        </w:rPr>
        <w:t>进度较快。</w:t>
      </w:r>
    </w:p>
    <w:p>
      <w:pPr>
        <w:rPr>
          <w:rFonts w:ascii="Times New Roman" w:hAnsi="Times New Roman"/>
        </w:rPr>
      </w:pPr>
      <w:r>
        <w:drawing>
          <wp:inline distT="0" distB="0" distL="0" distR="0">
            <wp:extent cx="5593080" cy="3069590"/>
            <wp:effectExtent l="4445" t="4445" r="22225" b="1206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
        <w:keepNext w:val="0"/>
        <w:keepLines w:val="0"/>
        <w:pageBreakBefore w:val="0"/>
        <w:widowControl w:val="0"/>
        <w:kinsoku/>
        <w:wordWrap/>
        <w:overflowPunct/>
        <w:topLinePunct w:val="0"/>
        <w:autoSpaceDE/>
        <w:autoSpaceDN/>
        <w:bidi w:val="0"/>
        <w:adjustRightInd/>
        <w:snapToGrid/>
        <w:spacing w:before="157" w:beforeLines="50" w:after="0" w:line="560" w:lineRule="exact"/>
        <w:ind w:firstLine="640" w:firstLineChars="200"/>
        <w:textAlignment w:val="auto"/>
        <w:rPr>
          <w:rFonts w:hint="eastAsia" w:ascii="Times New Roman" w:hAnsi="Times New Roman" w:eastAsia="仿宋_GB2312"/>
          <w:lang w:eastAsia="zh-CN"/>
        </w:rPr>
      </w:pPr>
      <w:r>
        <w:rPr>
          <w:rFonts w:ascii="Times New Roman" w:hAnsi="Times New Roman" w:eastAsia="仿宋_GB2312"/>
          <w:sz w:val="32"/>
          <w:szCs w:val="32"/>
        </w:rPr>
        <w:t>分市看，丽水市</w:t>
      </w:r>
      <w:r>
        <w:rPr>
          <w:rFonts w:hint="eastAsia" w:ascii="Times New Roman" w:hAnsi="Times New Roman" w:eastAsia="仿宋_GB2312"/>
          <w:sz w:val="32"/>
          <w:szCs w:val="32"/>
          <w:lang w:eastAsia="zh-CN"/>
        </w:rPr>
        <w:t>、衢州市实施</w:t>
      </w:r>
      <w:r>
        <w:rPr>
          <w:rFonts w:ascii="Times New Roman" w:hAnsi="Times New Roman" w:eastAsia="仿宋_GB2312"/>
          <w:sz w:val="32"/>
          <w:szCs w:val="32"/>
        </w:rPr>
        <w:t>进度快，舟山市相对滞后</w:t>
      </w:r>
      <w:r>
        <w:rPr>
          <w:rFonts w:hint="eastAsia" w:ascii="Times New Roman" w:hAnsi="Times New Roman" w:eastAsia="仿宋_GB2312"/>
          <w:sz w:val="32"/>
          <w:szCs w:val="32"/>
          <w:lang w:eastAsia="zh-CN"/>
        </w:rPr>
        <w:t>。</w:t>
      </w:r>
    </w:p>
    <w:p>
      <w:pPr>
        <w:pStyle w:val="3"/>
        <w:jc w:val="center"/>
        <w:rPr>
          <w:rFonts w:ascii="Times New Roman" w:hAnsi="Times New Roman"/>
        </w:rPr>
      </w:pPr>
      <w:r>
        <w:drawing>
          <wp:inline distT="0" distB="0" distL="0" distR="0">
            <wp:extent cx="5657215" cy="3454400"/>
            <wp:effectExtent l="5080" t="4445" r="14605" b="825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numPr>
          <w:ilvl w:val="255"/>
          <w:numId w:val="0"/>
        </w:num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二、分项进展</w:t>
      </w:r>
    </w:p>
    <w:p>
      <w:pPr>
        <w:pStyle w:val="16"/>
        <w:spacing w:line="560" w:lineRule="exact"/>
        <w:ind w:left="0" w:leftChars="0"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 新开工提标加固海塘。</w:t>
      </w:r>
      <w:r>
        <w:rPr>
          <w:rFonts w:ascii="Times New Roman" w:hAnsi="Times New Roman" w:eastAsia="仿宋_GB2312" w:cs="Times New Roman"/>
          <w:sz w:val="32"/>
          <w:szCs w:val="32"/>
        </w:rPr>
        <w:t>计划新开工240公里，涉及48个项目，截至4月30日已开工10个，平均进度48.65%。台州市</w:t>
      </w:r>
      <w:r>
        <w:rPr>
          <w:rFonts w:hint="eastAsia" w:ascii="Times New Roman" w:hAnsi="Times New Roman" w:eastAsia="仿宋_GB2312" w:cs="Times New Roman"/>
          <w:sz w:val="32"/>
          <w:szCs w:val="32"/>
          <w:lang w:eastAsia="zh-CN"/>
        </w:rPr>
        <w:t>前期</w:t>
      </w:r>
      <w:r>
        <w:rPr>
          <w:rFonts w:ascii="Times New Roman" w:hAnsi="Times New Roman" w:eastAsia="仿宋_GB2312" w:cs="Times New Roman"/>
          <w:sz w:val="32"/>
          <w:szCs w:val="32"/>
        </w:rPr>
        <w:t>进度快，嘉兴市滞后明显。</w:t>
      </w:r>
    </w:p>
    <w:p>
      <w:pPr>
        <w:jc w:val="center"/>
        <w:rPr>
          <w:rFonts w:ascii="Times New Roman" w:hAnsi="Times New Roman" w:eastAsia="仿宋_GB2312"/>
          <w:b/>
          <w:sz w:val="32"/>
          <w:szCs w:val="32"/>
        </w:rPr>
      </w:pPr>
      <w:r>
        <w:drawing>
          <wp:inline distT="0" distB="0" distL="0" distR="0">
            <wp:extent cx="5623560" cy="2682240"/>
            <wp:effectExtent l="0" t="0" r="15240" b="381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6"/>
        <w:spacing w:line="560" w:lineRule="exact"/>
        <w:ind w:left="0" w:leftChars="0"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2.病险水库除险加固。</w:t>
      </w:r>
      <w:r>
        <w:rPr>
          <w:rFonts w:ascii="Times New Roman" w:hAnsi="Times New Roman" w:eastAsia="仿宋_GB2312" w:cs="Times New Roman"/>
          <w:sz w:val="32"/>
          <w:szCs w:val="32"/>
        </w:rPr>
        <w:t>计划完成200座，截至4月30日已开工198座、完工24座，平均进度76.95%</w:t>
      </w:r>
      <w:r>
        <w:rPr>
          <w:rFonts w:hint="eastAsia" w:ascii="Times New Roman" w:hAnsi="Times New Roman" w:eastAsia="仿宋_GB2312" w:cs="Times New Roman"/>
          <w:sz w:val="32"/>
          <w:szCs w:val="32"/>
          <w:lang w:eastAsia="zh-CN"/>
        </w:rPr>
        <w:t>。宁波市、杭州市、丽水市、衢州市实施</w:t>
      </w:r>
      <w:r>
        <w:rPr>
          <w:rFonts w:hint="eastAsia" w:ascii="Times New Roman" w:hAnsi="Times New Roman" w:eastAsia="仿宋_GB2312" w:cs="Times New Roman"/>
          <w:sz w:val="32"/>
          <w:szCs w:val="32"/>
        </w:rPr>
        <w:t>进度</w:t>
      </w:r>
      <w:r>
        <w:rPr>
          <w:rFonts w:hint="eastAsia" w:ascii="Times New Roman" w:hAnsi="Times New Roman" w:eastAsia="仿宋_GB2312" w:cs="Times New Roman"/>
          <w:sz w:val="32"/>
          <w:szCs w:val="32"/>
          <w:lang w:eastAsia="zh-CN"/>
        </w:rPr>
        <w:t>快</w:t>
      </w:r>
      <w:r>
        <w:rPr>
          <w:rFonts w:ascii="Times New Roman" w:hAnsi="Times New Roman" w:eastAsia="仿宋_GB2312" w:cs="Times New Roman"/>
          <w:sz w:val="32"/>
          <w:szCs w:val="32"/>
        </w:rPr>
        <w:t>。</w:t>
      </w:r>
    </w:p>
    <w:p>
      <w:pPr>
        <w:rPr>
          <w:rFonts w:ascii="Times New Roman" w:hAnsi="Times New Roman"/>
        </w:rPr>
      </w:pPr>
      <w:r>
        <w:drawing>
          <wp:inline distT="0" distB="0" distL="0" distR="0">
            <wp:extent cx="5615940" cy="2686050"/>
            <wp:effectExtent l="4445" t="4445" r="18415" b="1460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6"/>
        <w:spacing w:line="560" w:lineRule="exact"/>
        <w:ind w:left="0" w:leftChars="0" w:firstLine="642" w:firstLineChars="200"/>
        <w:rPr>
          <w:rFonts w:ascii="Times New Roman" w:hAnsi="Times New Roman" w:eastAsia="仿宋_GB2312" w:cs="Times New Roman"/>
          <w:b/>
          <w:sz w:val="32"/>
          <w:szCs w:val="32"/>
          <w:lang w:bidi="ar"/>
        </w:rPr>
      </w:pPr>
      <w:r>
        <w:rPr>
          <w:rFonts w:ascii="Times New Roman" w:hAnsi="Times New Roman" w:eastAsia="仿宋_GB2312" w:cs="Times New Roman"/>
          <w:b/>
          <w:bCs/>
          <w:sz w:val="32"/>
          <w:szCs w:val="32"/>
        </w:rPr>
        <w:t>3. 山塘整治。</w:t>
      </w:r>
      <w:r>
        <w:rPr>
          <w:rFonts w:ascii="Times New Roman" w:hAnsi="Times New Roman" w:eastAsia="仿宋_GB2312" w:cs="Times New Roman"/>
          <w:sz w:val="32"/>
          <w:szCs w:val="32"/>
        </w:rPr>
        <w:t>计划整治450座，截至4月30日已开工387座、完工30座，平均进度64.19%。湖州市</w:t>
      </w:r>
      <w:r>
        <w:rPr>
          <w:rFonts w:hint="eastAsia" w:ascii="Times New Roman" w:hAnsi="Times New Roman" w:eastAsia="仿宋_GB2312" w:cs="Times New Roman"/>
          <w:sz w:val="32"/>
          <w:szCs w:val="32"/>
        </w:rPr>
        <w:t>、丽水市</w:t>
      </w:r>
      <w:r>
        <w:rPr>
          <w:rFonts w:hint="eastAsia" w:ascii="Times New Roman" w:hAnsi="Times New Roman" w:eastAsia="仿宋_GB2312" w:cs="Times New Roman"/>
          <w:sz w:val="32"/>
          <w:szCs w:val="32"/>
          <w:lang w:eastAsia="zh-CN"/>
        </w:rPr>
        <w:t>实施</w:t>
      </w:r>
      <w:r>
        <w:rPr>
          <w:rFonts w:ascii="Times New Roman" w:hAnsi="Times New Roman" w:eastAsia="仿宋_GB2312" w:cs="Times New Roman"/>
          <w:sz w:val="32"/>
          <w:szCs w:val="32"/>
        </w:rPr>
        <w:t>进度快，舟山市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台州市相对滞后。</w:t>
      </w:r>
    </w:p>
    <w:p>
      <w:pPr>
        <w:pStyle w:val="3"/>
        <w:jc w:val="center"/>
        <w:rPr>
          <w:rFonts w:ascii="Times New Roman" w:hAnsi="Times New Roman"/>
        </w:rPr>
      </w:pPr>
      <w:r>
        <w:drawing>
          <wp:inline distT="0" distB="0" distL="0" distR="0">
            <wp:extent cx="5631180" cy="2758440"/>
            <wp:effectExtent l="0" t="0" r="7620" b="381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6"/>
        <w:spacing w:line="560" w:lineRule="exact"/>
        <w:ind w:left="0" w:leftChars="0" w:firstLine="642" w:firstLineChars="200"/>
        <w:rPr>
          <w:rFonts w:ascii="Times New Roman" w:hAnsi="Times New Roman" w:eastAsia="仿宋_GB2312" w:cs="Times New Roman"/>
          <w:sz w:val="32"/>
          <w:szCs w:val="32"/>
          <w:lang w:bidi="ar"/>
        </w:rPr>
      </w:pPr>
      <w:r>
        <w:rPr>
          <w:rFonts w:ascii="Times New Roman" w:hAnsi="Times New Roman" w:eastAsia="仿宋_GB2312" w:cs="Times New Roman"/>
          <w:b/>
          <w:bCs/>
          <w:sz w:val="32"/>
          <w:szCs w:val="32"/>
        </w:rPr>
        <w:t>4. 提升改造农业灌溉泵站机埠和堰坝水闸。</w:t>
      </w:r>
      <w:r>
        <w:rPr>
          <w:rFonts w:ascii="Times New Roman" w:hAnsi="Times New Roman" w:eastAsia="仿宋_GB2312" w:cs="Times New Roman"/>
          <w:sz w:val="32"/>
          <w:szCs w:val="32"/>
        </w:rPr>
        <w:t>计划提升改造项目1500座，截至4月30日已开工1484个、完工288个，平均进度81.07%。舟山</w:t>
      </w:r>
      <w:r>
        <w:rPr>
          <w:rFonts w:hint="eastAsia" w:ascii="Times New Roman" w:hAnsi="Times New Roman" w:eastAsia="仿宋_GB2312" w:cs="Times New Roman"/>
          <w:sz w:val="32"/>
          <w:szCs w:val="32"/>
        </w:rPr>
        <w:t>市、丽水市</w:t>
      </w:r>
      <w:r>
        <w:rPr>
          <w:rFonts w:hint="eastAsia" w:ascii="Times New Roman" w:hAnsi="Times New Roman" w:eastAsia="仿宋_GB2312" w:cs="Times New Roman"/>
          <w:sz w:val="32"/>
          <w:szCs w:val="32"/>
          <w:lang w:eastAsia="zh-CN"/>
        </w:rPr>
        <w:t>实施</w:t>
      </w:r>
      <w:r>
        <w:rPr>
          <w:rFonts w:hint="eastAsia" w:ascii="Times New Roman" w:hAnsi="Times New Roman" w:eastAsia="仿宋_GB2312" w:cs="Times New Roman"/>
          <w:sz w:val="32"/>
          <w:szCs w:val="32"/>
        </w:rPr>
        <w:t>进度快</w:t>
      </w:r>
      <w:r>
        <w:rPr>
          <w:rFonts w:ascii="Times New Roman" w:hAnsi="Times New Roman" w:eastAsia="仿宋_GB2312" w:cs="Times New Roman"/>
          <w:sz w:val="32"/>
          <w:szCs w:val="32"/>
        </w:rPr>
        <w:t>。</w:t>
      </w:r>
    </w:p>
    <w:p>
      <w:pPr>
        <w:pStyle w:val="3"/>
        <w:jc w:val="center"/>
        <w:rPr>
          <w:rFonts w:ascii="Times New Roman" w:hAnsi="Times New Roman" w:eastAsia="仿宋_GB2312"/>
          <w:sz w:val="32"/>
          <w:szCs w:val="32"/>
        </w:rPr>
      </w:pPr>
      <w:r>
        <w:drawing>
          <wp:inline distT="0" distB="0" distL="0" distR="0">
            <wp:extent cx="5570220" cy="2644140"/>
            <wp:effectExtent l="4445" t="4445" r="6985" b="1841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6"/>
        <w:spacing w:line="560" w:lineRule="exact"/>
        <w:ind w:left="0" w:leftChars="0"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5</w:t>
      </w:r>
      <w:r>
        <w:rPr>
          <w:rFonts w:ascii="Times New Roman" w:hAnsi="Times New Roman" w:eastAsia="仿宋_GB2312" w:cs="Times New Roman"/>
          <w:b/>
          <w:bCs/>
          <w:sz w:val="32"/>
          <w:szCs w:val="32"/>
        </w:rPr>
        <w:t>. 改造农村供水管网。</w:t>
      </w:r>
      <w:r>
        <w:rPr>
          <w:rFonts w:ascii="Times New Roman" w:hAnsi="Times New Roman" w:eastAsia="仿宋_GB2312" w:cs="Times New Roman"/>
          <w:sz w:val="32"/>
          <w:szCs w:val="32"/>
        </w:rPr>
        <w:t>计划改造管网2800公里，涉及292个项目，截至4月30日已开工283个、完工34个，平均进度81.93%，</w:t>
      </w:r>
      <w:r>
        <w:rPr>
          <w:rFonts w:hint="eastAsia" w:ascii="Times New Roman" w:hAnsi="Times New Roman" w:eastAsia="仿宋_GB2312" w:cs="Times New Roman"/>
          <w:sz w:val="32"/>
          <w:szCs w:val="32"/>
          <w:lang w:eastAsia="zh-CN"/>
        </w:rPr>
        <w:t>台州市、丽水市实施进度快，</w:t>
      </w:r>
      <w:r>
        <w:rPr>
          <w:rFonts w:ascii="Times New Roman" w:hAnsi="Times New Roman" w:eastAsia="仿宋_GB2312" w:cs="Times New Roman"/>
          <w:sz w:val="32"/>
          <w:szCs w:val="32"/>
        </w:rPr>
        <w:t>舟山市、嘉兴市相对滞后。</w:t>
      </w:r>
    </w:p>
    <w:p>
      <w:pPr>
        <w:pStyle w:val="12"/>
        <w:jc w:val="center"/>
        <w:rPr>
          <w:rFonts w:ascii="Times New Roman" w:hAnsi="Times New Roman" w:eastAsia="仿宋_GB2312"/>
          <w:sz w:val="32"/>
          <w:szCs w:val="32"/>
        </w:rPr>
      </w:pPr>
      <w:r>
        <w:drawing>
          <wp:inline distT="0" distB="0" distL="0" distR="0">
            <wp:extent cx="5615940" cy="2943225"/>
            <wp:effectExtent l="4445" t="4445" r="18415" b="508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2"/>
        <w:spacing w:line="560"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6. 中小河流综合治理。</w:t>
      </w:r>
      <w:r>
        <w:rPr>
          <w:rFonts w:ascii="Times New Roman" w:hAnsi="Times New Roman" w:eastAsia="仿宋_GB2312"/>
          <w:sz w:val="32"/>
          <w:szCs w:val="32"/>
        </w:rPr>
        <w:t>计划完成治理任务500公里，涉及112个项目，截至4月30日已开工104个，平均进度67.23%，丽水市</w:t>
      </w:r>
      <w:r>
        <w:rPr>
          <w:rFonts w:hint="eastAsia" w:ascii="Times New Roman" w:hAnsi="Times New Roman" w:eastAsia="仿宋_GB2312"/>
          <w:sz w:val="32"/>
          <w:szCs w:val="32"/>
          <w:lang w:eastAsia="zh-CN"/>
        </w:rPr>
        <w:t>、台州市、宁波市</w:t>
      </w:r>
      <w:r>
        <w:rPr>
          <w:rFonts w:ascii="Times New Roman" w:hAnsi="Times New Roman" w:eastAsia="仿宋_GB2312"/>
          <w:sz w:val="32"/>
          <w:szCs w:val="32"/>
        </w:rPr>
        <w:t>进度</w:t>
      </w:r>
      <w:r>
        <w:rPr>
          <w:rFonts w:hint="eastAsia" w:ascii="Times New Roman" w:hAnsi="Times New Roman" w:eastAsia="仿宋_GB2312"/>
          <w:sz w:val="32"/>
          <w:szCs w:val="32"/>
          <w:lang w:eastAsia="zh-CN"/>
        </w:rPr>
        <w:t>较</w:t>
      </w:r>
      <w:r>
        <w:rPr>
          <w:rFonts w:ascii="Times New Roman" w:hAnsi="Times New Roman" w:eastAsia="仿宋_GB2312"/>
          <w:sz w:val="32"/>
          <w:szCs w:val="32"/>
        </w:rPr>
        <w:t>快，杭州市相对滞后。</w:t>
      </w:r>
    </w:p>
    <w:p>
      <w:pPr>
        <w:pStyle w:val="12"/>
        <w:rPr>
          <w:rFonts w:ascii="Times New Roman" w:hAnsi="Times New Roman"/>
          <w:lang w:bidi="ar"/>
        </w:rPr>
      </w:pPr>
      <w:r>
        <w:drawing>
          <wp:inline distT="0" distB="0" distL="0" distR="0">
            <wp:extent cx="5608320" cy="2863215"/>
            <wp:effectExtent l="4445" t="4445" r="6985" b="889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三、工作动态</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4月</w:t>
      </w:r>
      <w:r>
        <w:rPr>
          <w:rFonts w:hint="eastAsia" w:ascii="Times New Roman" w:hAnsi="Times New Roman" w:eastAsia="仿宋_GB2312"/>
          <w:sz w:val="32"/>
          <w:szCs w:val="32"/>
        </w:rPr>
        <w:t>18</w:t>
      </w:r>
      <w:r>
        <w:rPr>
          <w:rFonts w:ascii="Times New Roman" w:hAnsi="Times New Roman" w:eastAsia="仿宋_GB2312"/>
          <w:sz w:val="32"/>
          <w:szCs w:val="32"/>
        </w:rPr>
        <w:t>日，副省长徐文光</w:t>
      </w:r>
      <w:r>
        <w:rPr>
          <w:rFonts w:hint="eastAsia" w:ascii="Times New Roman" w:hAnsi="Times New Roman" w:eastAsia="仿宋_GB2312"/>
          <w:sz w:val="32"/>
          <w:szCs w:val="32"/>
        </w:rPr>
        <w:t>主持召开防汛抗旱和水利重大项目建设工作专题会议</w:t>
      </w:r>
      <w:r>
        <w:rPr>
          <w:rFonts w:hint="eastAsia" w:ascii="Times New Roman" w:hAnsi="Times New Roman" w:eastAsia="仿宋_GB2312"/>
          <w:sz w:val="32"/>
          <w:szCs w:val="32"/>
          <w:lang w:eastAsia="zh-CN"/>
        </w:rPr>
        <w:t>。会议</w:t>
      </w:r>
      <w:r>
        <w:rPr>
          <w:rFonts w:hint="eastAsia" w:ascii="Times New Roman" w:hAnsi="Times New Roman" w:eastAsia="仿宋_GB2312"/>
          <w:sz w:val="32"/>
          <w:szCs w:val="32"/>
        </w:rPr>
        <w:t>充分肯定</w:t>
      </w:r>
      <w:r>
        <w:rPr>
          <w:rFonts w:hint="eastAsia" w:ascii="Times New Roman" w:hAnsi="Times New Roman" w:eastAsia="仿宋_GB2312"/>
          <w:sz w:val="32"/>
          <w:szCs w:val="32"/>
          <w:lang w:eastAsia="zh-CN"/>
        </w:rPr>
        <w:t>了</w:t>
      </w:r>
      <w:r>
        <w:rPr>
          <w:rFonts w:hint="eastAsia" w:ascii="Times New Roman" w:hAnsi="Times New Roman" w:eastAsia="仿宋_GB2312"/>
          <w:sz w:val="32"/>
          <w:szCs w:val="32"/>
        </w:rPr>
        <w:t>一季度重大水利工程、民生实事项目建设</w:t>
      </w:r>
      <w:r>
        <w:rPr>
          <w:rFonts w:hint="eastAsia" w:ascii="Times New Roman" w:hAnsi="Times New Roman" w:eastAsia="仿宋_GB2312"/>
          <w:sz w:val="32"/>
          <w:szCs w:val="32"/>
          <w:lang w:eastAsia="zh-CN"/>
        </w:rPr>
        <w:t>成效，</w:t>
      </w:r>
      <w:r>
        <w:rPr>
          <w:rFonts w:hint="eastAsia" w:ascii="Times New Roman" w:hAnsi="Times New Roman" w:eastAsia="仿宋_GB2312"/>
          <w:sz w:val="32"/>
          <w:szCs w:val="32"/>
        </w:rPr>
        <w:t>研究部署2022年防汛防台工作和重大水利工程建设</w:t>
      </w:r>
      <w:r>
        <w:rPr>
          <w:rFonts w:hint="eastAsia" w:ascii="Times New Roman" w:hAnsi="Times New Roman" w:eastAsia="仿宋_GB2312"/>
          <w:sz w:val="32"/>
          <w:szCs w:val="32"/>
          <w:lang w:eastAsia="zh-CN"/>
        </w:rPr>
        <w:t>，明确要求</w:t>
      </w:r>
      <w:r>
        <w:rPr>
          <w:rFonts w:hint="eastAsia" w:ascii="Times New Roman" w:hAnsi="Times New Roman" w:eastAsia="仿宋_GB2312"/>
          <w:sz w:val="32"/>
          <w:szCs w:val="32"/>
          <w:lang w:val="en-US" w:eastAsia="zh-CN"/>
        </w:rPr>
        <w:t>扎实做好水利民生实事</w:t>
      </w:r>
      <w:r>
        <w:rPr>
          <w:rFonts w:hint="eastAsia" w:ascii="Times New Roman" w:hAnsi="Times New Roman" w:eastAsia="仿宋_GB2312"/>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2. </w:t>
      </w:r>
      <w:r>
        <w:rPr>
          <w:rFonts w:hint="eastAsia" w:ascii="Times New Roman" w:hAnsi="Times New Roman" w:eastAsia="仿宋_GB2312"/>
          <w:sz w:val="32"/>
          <w:szCs w:val="32"/>
        </w:rPr>
        <w:t>4月18日，省委常委、</w:t>
      </w:r>
      <w:r>
        <w:rPr>
          <w:rFonts w:hint="eastAsia" w:ascii="Times New Roman" w:hAnsi="Times New Roman" w:eastAsia="仿宋_GB2312"/>
          <w:sz w:val="32"/>
          <w:szCs w:val="32"/>
          <w:lang w:eastAsia="zh-CN"/>
        </w:rPr>
        <w:t>杭州</w:t>
      </w:r>
      <w:r>
        <w:rPr>
          <w:rFonts w:hint="eastAsia" w:ascii="Times New Roman" w:hAnsi="Times New Roman" w:eastAsia="仿宋_GB2312"/>
          <w:sz w:val="32"/>
          <w:szCs w:val="32"/>
        </w:rPr>
        <w:t>市委书记刘捷召开</w:t>
      </w:r>
      <w:r>
        <w:rPr>
          <w:rFonts w:hint="eastAsia" w:ascii="Times New Roman" w:hAnsi="Times New Roman" w:eastAsia="仿宋_GB2312"/>
          <w:sz w:val="32"/>
          <w:szCs w:val="32"/>
          <w:lang w:eastAsia="zh-CN"/>
        </w:rPr>
        <w:t>杭州市</w:t>
      </w:r>
      <w:r>
        <w:rPr>
          <w:rFonts w:hint="eastAsia" w:ascii="Times New Roman" w:hAnsi="Times New Roman" w:eastAsia="仿宋_GB2312"/>
          <w:sz w:val="32"/>
          <w:szCs w:val="32"/>
        </w:rPr>
        <w:t>重大水利项目建设工作会议，市长刘忻主持，市委常委金志出席。刘捷强调要扎实推进重大水利项目建设（民生实事海塘提标加固），坚持高起点谋划、高标准建设、高水平管理，全面提高防洪治理能力。</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4月20</w:t>
      </w:r>
      <w:r>
        <w:rPr>
          <w:rFonts w:hint="eastAsia" w:ascii="Times New Roman" w:hAnsi="Times New Roman" w:eastAsia="仿宋_GB2312"/>
          <w:sz w:val="32"/>
          <w:szCs w:val="32"/>
          <w:lang w:eastAsia="zh-CN"/>
        </w:rPr>
        <w:t>至</w:t>
      </w:r>
      <w:r>
        <w:rPr>
          <w:rFonts w:hint="eastAsia" w:ascii="Times New Roman" w:hAnsi="Times New Roman" w:eastAsia="仿宋_GB2312"/>
          <w:sz w:val="32"/>
          <w:szCs w:val="32"/>
        </w:rPr>
        <w:t>21日，副省长徐文光调研绍兴水利等工作，</w:t>
      </w:r>
      <w:r>
        <w:rPr>
          <w:rFonts w:ascii="Times New Roman" w:hAnsi="Times New Roman" w:eastAsia="仿宋_GB2312"/>
          <w:sz w:val="32"/>
          <w:szCs w:val="32"/>
        </w:rPr>
        <w:t>检查指导绍兴市越城区深化农业水价改革和农业灌溉工程更新升级工作。</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 4月7日，厅党组书记、厅长马林云专题听取水利民生实事专班工作汇报，</w:t>
      </w:r>
      <w:r>
        <w:rPr>
          <w:rFonts w:hint="eastAsia" w:ascii="Times New Roman" w:hAnsi="Times New Roman" w:eastAsia="仿宋_GB2312"/>
          <w:sz w:val="32"/>
          <w:szCs w:val="32"/>
        </w:rPr>
        <w:t>要求</w:t>
      </w:r>
      <w:r>
        <w:rPr>
          <w:rFonts w:ascii="Times New Roman" w:hAnsi="Times New Roman" w:eastAsia="仿宋_GB2312"/>
          <w:sz w:val="32"/>
          <w:szCs w:val="32"/>
        </w:rPr>
        <w:t>水利民生实事“保进度、保质量、保真实性”。</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5. </w:t>
      </w:r>
      <w:r>
        <w:rPr>
          <w:rFonts w:ascii="Times New Roman" w:hAnsi="Times New Roman" w:eastAsia="仿宋_GB2312"/>
          <w:sz w:val="32"/>
          <w:szCs w:val="32"/>
        </w:rPr>
        <w:t>4月25日，厅党组召开一季度工作形势专题研判会议，听取了水利民生实事工作汇报，要求</w:t>
      </w:r>
      <w:r>
        <w:rPr>
          <w:rFonts w:hint="eastAsia" w:ascii="Times New Roman" w:hAnsi="Times New Roman" w:eastAsia="仿宋_GB2312"/>
          <w:sz w:val="32"/>
          <w:szCs w:val="32"/>
        </w:rPr>
        <w:t>对标</w:t>
      </w:r>
      <w:r>
        <w:rPr>
          <w:rFonts w:ascii="Times New Roman" w:hAnsi="Times New Roman" w:eastAsia="仿宋_GB2312"/>
          <w:sz w:val="32"/>
          <w:szCs w:val="32"/>
        </w:rPr>
        <w:t>序时进度、争取走在前列，</w:t>
      </w:r>
      <w:r>
        <w:rPr>
          <w:rFonts w:hint="eastAsia" w:ascii="Times New Roman" w:hAnsi="Times New Roman" w:eastAsia="仿宋_GB2312"/>
          <w:sz w:val="32"/>
          <w:szCs w:val="32"/>
        </w:rPr>
        <w:t>要求严格审核工程进度、确保</w:t>
      </w:r>
      <w:r>
        <w:rPr>
          <w:rFonts w:ascii="Times New Roman" w:hAnsi="Times New Roman" w:eastAsia="仿宋_GB2312"/>
          <w:sz w:val="32"/>
          <w:szCs w:val="32"/>
        </w:rPr>
        <w:t>信息填报真实反映工程进度实际。</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 xml:space="preserve">. </w:t>
      </w:r>
      <w:r>
        <w:rPr>
          <w:rFonts w:hint="eastAsia" w:ascii="Times New Roman" w:hAnsi="Times New Roman" w:eastAsia="仿宋_GB2312"/>
          <w:sz w:val="32"/>
          <w:szCs w:val="32"/>
        </w:rPr>
        <w:t>4月</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9日，厅党组成员、副厅长朱留沙主持召开水利民生实事第2次工作例会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会商民生实事项目建设进展，分析研判存在的薄弱环节，部署下阶段重点工作。</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320"/>
        <w:textAlignment w:val="auto"/>
        <w:rPr>
          <w:rFonts w:ascii="Times New Roman" w:hAnsi="Times New Roman"/>
        </w:rPr>
      </w:pP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 4月15日，省水利厅印发《关于做好 2022年省政府民生实事水利项目的通知》，</w:t>
      </w:r>
      <w:r>
        <w:rPr>
          <w:rFonts w:hint="eastAsia" w:ascii="Times New Roman" w:hAnsi="Times New Roman" w:eastAsia="仿宋_GB2312"/>
          <w:sz w:val="32"/>
          <w:szCs w:val="32"/>
        </w:rPr>
        <w:t>明确</w:t>
      </w:r>
      <w:r>
        <w:rPr>
          <w:rFonts w:ascii="Times New Roman" w:hAnsi="Times New Roman" w:eastAsia="仿宋_GB2312"/>
          <w:sz w:val="32"/>
          <w:szCs w:val="32"/>
        </w:rPr>
        <w:t>项目前期</w:t>
      </w:r>
      <w:r>
        <w:rPr>
          <w:rFonts w:hint="eastAsia" w:ascii="Times New Roman" w:hAnsi="Times New Roman" w:eastAsia="仿宋_GB2312"/>
          <w:sz w:val="32"/>
          <w:szCs w:val="32"/>
        </w:rPr>
        <w:t>、工程</w:t>
      </w:r>
      <w:r>
        <w:rPr>
          <w:rFonts w:ascii="Times New Roman" w:hAnsi="Times New Roman" w:eastAsia="仿宋_GB2312"/>
          <w:sz w:val="32"/>
          <w:szCs w:val="32"/>
        </w:rPr>
        <w:t>管理</w:t>
      </w:r>
      <w:r>
        <w:rPr>
          <w:rFonts w:hint="eastAsia" w:ascii="Times New Roman" w:hAnsi="Times New Roman" w:eastAsia="仿宋_GB2312"/>
          <w:sz w:val="32"/>
          <w:szCs w:val="32"/>
        </w:rPr>
        <w:t>、建设</w:t>
      </w:r>
      <w:r>
        <w:rPr>
          <w:rFonts w:ascii="Times New Roman" w:hAnsi="Times New Roman" w:eastAsia="仿宋_GB2312"/>
          <w:sz w:val="32"/>
          <w:szCs w:val="32"/>
        </w:rPr>
        <w:t>进度</w:t>
      </w:r>
      <w:r>
        <w:rPr>
          <w:rFonts w:hint="eastAsia" w:ascii="Times New Roman" w:hAnsi="Times New Roman" w:eastAsia="仿宋_GB2312"/>
          <w:sz w:val="32"/>
          <w:szCs w:val="32"/>
        </w:rPr>
        <w:t>、</w:t>
      </w:r>
      <w:r>
        <w:rPr>
          <w:rFonts w:ascii="Times New Roman" w:hAnsi="Times New Roman" w:eastAsia="仿宋_GB2312"/>
          <w:sz w:val="32"/>
          <w:szCs w:val="32"/>
        </w:rPr>
        <w:t>数据报送</w:t>
      </w:r>
      <w:r>
        <w:rPr>
          <w:rFonts w:hint="eastAsia" w:ascii="Times New Roman" w:hAnsi="Times New Roman" w:eastAsia="仿宋_GB2312"/>
          <w:sz w:val="32"/>
          <w:szCs w:val="32"/>
        </w:rPr>
        <w:t>、</w:t>
      </w:r>
      <w:r>
        <w:rPr>
          <w:rFonts w:ascii="Times New Roman" w:hAnsi="Times New Roman" w:eastAsia="仿宋_GB2312"/>
          <w:sz w:val="32"/>
          <w:szCs w:val="32"/>
        </w:rPr>
        <w:t>宣传引导等5方面工作</w:t>
      </w:r>
      <w:r>
        <w:rPr>
          <w:rFonts w:hint="eastAsia" w:ascii="Times New Roman" w:hAnsi="Times New Roman" w:eastAsia="仿宋_GB2312"/>
          <w:sz w:val="32"/>
          <w:szCs w:val="32"/>
        </w:rPr>
        <w:t>要求，细化落实目标任务、实施计划和建设标准</w:t>
      </w:r>
      <w:r>
        <w:rPr>
          <w:rFonts w:ascii="Times New Roman" w:hAnsi="Times New Roman" w:eastAsia="仿宋_GB2312"/>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 xml:space="preserve">. 4月20 </w:t>
      </w:r>
      <w:r>
        <w:rPr>
          <w:rFonts w:hint="eastAsia" w:ascii="Times New Roman" w:hAnsi="Times New Roman" w:eastAsia="仿宋_GB2312"/>
          <w:sz w:val="32"/>
          <w:szCs w:val="32"/>
          <w:lang w:eastAsia="zh-CN"/>
        </w:rPr>
        <w:t>至</w:t>
      </w:r>
      <w:r>
        <w:rPr>
          <w:rFonts w:ascii="Times New Roman" w:hAnsi="Times New Roman" w:eastAsia="仿宋_GB2312"/>
          <w:sz w:val="32"/>
          <w:szCs w:val="32"/>
        </w:rPr>
        <w:t>22日，省政府督查室派出5个督查组赴各设区市开展一季度民生实事工作情况督查，</w:t>
      </w:r>
      <w:r>
        <w:rPr>
          <w:rFonts w:hint="eastAsia" w:ascii="Times New Roman" w:hAnsi="Times New Roman" w:eastAsia="仿宋_GB2312"/>
          <w:sz w:val="32"/>
          <w:szCs w:val="32"/>
        </w:rPr>
        <w:t>对“浙里平安”</w:t>
      </w:r>
      <w:r>
        <w:rPr>
          <w:rFonts w:ascii="Times New Roman" w:hAnsi="Times New Roman" w:eastAsia="仿宋_GB2312"/>
          <w:sz w:val="32"/>
          <w:szCs w:val="32"/>
        </w:rPr>
        <w:t>海塘、山塘、供水管网、泵站机埠、堰坝水闸等13个项目</w:t>
      </w:r>
      <w:r>
        <w:rPr>
          <w:rFonts w:hint="eastAsia" w:ascii="Times New Roman" w:hAnsi="Times New Roman" w:eastAsia="仿宋_GB2312"/>
          <w:sz w:val="32"/>
          <w:szCs w:val="32"/>
        </w:rPr>
        <w:t>进行现场核查</w:t>
      </w:r>
      <w:r>
        <w:rPr>
          <w:rFonts w:ascii="Times New Roman" w:hAnsi="Times New Roman" w:eastAsia="仿宋_GB2312"/>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4月，</w:t>
      </w:r>
      <w:r>
        <w:rPr>
          <w:rFonts w:ascii="Times New Roman" w:hAnsi="Times New Roman" w:eastAsia="仿宋_GB2312"/>
          <w:sz w:val="32"/>
          <w:szCs w:val="32"/>
        </w:rPr>
        <w:t>衢州、台州、丽水等市政府领导专题研究水利民生实事项目推进工作</w:t>
      </w:r>
      <w:r>
        <w:rPr>
          <w:rFonts w:hint="eastAsia" w:ascii="Times New Roman" w:hAnsi="Times New Roman" w:eastAsia="仿宋_GB2312"/>
          <w:sz w:val="32"/>
          <w:szCs w:val="32"/>
        </w:rPr>
        <w:t>，现场督查、现场调研、现场办公，督促加快项目建设进度，提升实事办理质量</w:t>
      </w:r>
      <w:r>
        <w:rPr>
          <w:rFonts w:ascii="Times New Roman" w:hAnsi="Times New Roman" w:eastAsia="仿宋_GB2312"/>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ascii="Times New Roman" w:hAnsi="Times New Roman"/>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4月，</w:t>
      </w:r>
      <w:r>
        <w:rPr>
          <w:rFonts w:hint="eastAsia" w:ascii="Times New Roman" w:hAnsi="Times New Roman" w:eastAsia="仿宋_GB2312"/>
          <w:sz w:val="32"/>
          <w:szCs w:val="32"/>
          <w:lang w:eastAsia="zh-CN"/>
        </w:rPr>
        <w:t>杭州、</w:t>
      </w:r>
      <w:r>
        <w:rPr>
          <w:rFonts w:ascii="Times New Roman" w:hAnsi="Times New Roman" w:eastAsia="仿宋_GB2312"/>
          <w:sz w:val="32"/>
          <w:szCs w:val="32"/>
        </w:rPr>
        <w:t>湖州、嘉兴、绍兴、衢州、舟山等市水利局组织技术力量下沉一线开展指导服务；杭州</w:t>
      </w:r>
      <w:r>
        <w:rPr>
          <w:rFonts w:hint="eastAsia" w:ascii="Times New Roman" w:hAnsi="Times New Roman" w:eastAsia="仿宋_GB2312"/>
          <w:sz w:val="32"/>
          <w:szCs w:val="32"/>
        </w:rPr>
        <w:t>市</w:t>
      </w:r>
      <w:r>
        <w:rPr>
          <w:rFonts w:ascii="Times New Roman" w:hAnsi="Times New Roman" w:eastAsia="仿宋_GB2312"/>
          <w:sz w:val="32"/>
          <w:szCs w:val="32"/>
        </w:rPr>
        <w:t>、衢州</w:t>
      </w:r>
      <w:r>
        <w:rPr>
          <w:rFonts w:hint="eastAsia" w:ascii="Times New Roman" w:hAnsi="Times New Roman" w:eastAsia="仿宋_GB2312"/>
          <w:sz w:val="32"/>
          <w:szCs w:val="32"/>
        </w:rPr>
        <w:t>市</w:t>
      </w:r>
      <w:r>
        <w:rPr>
          <w:rFonts w:hint="eastAsia" w:ascii="Times New Roman" w:hAnsi="Times New Roman" w:eastAsia="仿宋_GB2312"/>
          <w:sz w:val="32"/>
          <w:szCs w:val="32"/>
          <w:lang w:eastAsia="zh-CN"/>
        </w:rPr>
        <w:t>水利局</w:t>
      </w:r>
      <w:r>
        <w:rPr>
          <w:rFonts w:ascii="Times New Roman" w:hAnsi="Times New Roman" w:eastAsia="仿宋_GB2312"/>
          <w:sz w:val="32"/>
          <w:szCs w:val="32"/>
        </w:rPr>
        <w:t>开展水利民生实事项目现场观摩，首批农业灌溉工程更新升级项目通过验收；金华市水利局组织召开民生实事中小河流治理专题培训会；丽水市</w:t>
      </w:r>
      <w:r>
        <w:rPr>
          <w:rFonts w:hint="eastAsia" w:ascii="Times New Roman" w:hAnsi="Times New Roman" w:eastAsia="仿宋_GB2312"/>
          <w:sz w:val="32"/>
          <w:szCs w:val="32"/>
        </w:rPr>
        <w:t>水利局</w:t>
      </w:r>
      <w:r>
        <w:rPr>
          <w:rFonts w:ascii="Times New Roman" w:hAnsi="Times New Roman" w:eastAsia="仿宋_GB2312"/>
          <w:sz w:val="32"/>
          <w:szCs w:val="32"/>
        </w:rPr>
        <w:t>对实施进度低于序时进度项目进行红、黄牌</w:t>
      </w:r>
      <w:r>
        <w:rPr>
          <w:rFonts w:hint="eastAsia" w:ascii="Times New Roman" w:hAnsi="Times New Roman" w:eastAsia="仿宋_GB2312"/>
          <w:sz w:val="32"/>
          <w:szCs w:val="32"/>
        </w:rPr>
        <w:t>预警</w:t>
      </w:r>
      <w:r>
        <w:rPr>
          <w:rFonts w:ascii="Times New Roman" w:hAnsi="Times New Roman" w:eastAsia="仿宋_GB2312"/>
          <w:sz w:val="32"/>
          <w:szCs w:val="32"/>
        </w:rPr>
        <w:t>提醒。</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11</w:t>
      </w:r>
      <w:r>
        <w:rPr>
          <w:rFonts w:ascii="Times New Roman" w:hAnsi="Times New Roman" w:eastAsia="仿宋_GB2312"/>
          <w:sz w:val="32"/>
          <w:szCs w:val="32"/>
        </w:rPr>
        <w:t>. 厅民生实事工作专班按照省政府督查室工作部署，会同厅相关处室、各设区市</w:t>
      </w:r>
      <w:r>
        <w:rPr>
          <w:rFonts w:hint="eastAsia" w:ascii="Times New Roman" w:hAnsi="Times New Roman" w:eastAsia="仿宋_GB2312"/>
          <w:sz w:val="32"/>
          <w:szCs w:val="32"/>
          <w:lang w:eastAsia="zh-CN"/>
        </w:rPr>
        <w:t>将</w:t>
      </w:r>
      <w:r>
        <w:rPr>
          <w:rFonts w:ascii="Times New Roman" w:hAnsi="Times New Roman" w:eastAsia="仿宋_GB2312"/>
          <w:sz w:val="32"/>
          <w:szCs w:val="32"/>
        </w:rPr>
        <w:t>10个水利民生实事项目</w:t>
      </w:r>
      <w:r>
        <w:rPr>
          <w:rFonts w:hint="eastAsia" w:ascii="Times New Roman" w:hAnsi="Times New Roman" w:eastAsia="仿宋_GB2312"/>
          <w:sz w:val="32"/>
          <w:szCs w:val="32"/>
          <w:lang w:eastAsia="zh-CN"/>
        </w:rPr>
        <w:t>施工现场</w:t>
      </w:r>
      <w:r>
        <w:rPr>
          <w:rFonts w:ascii="Times New Roman" w:hAnsi="Times New Roman" w:eastAsia="仿宋_GB2312"/>
          <w:sz w:val="32"/>
          <w:szCs w:val="32"/>
        </w:rPr>
        <w:t>视频接入省政府民生实事平台。</w:t>
      </w:r>
    </w:p>
    <w:p>
      <w:pPr>
        <w:pStyle w:val="2"/>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p>
      <w:pPr>
        <w:pStyle w:val="4"/>
        <w:rPr>
          <w:rFonts w:ascii="Times New Roman" w:hAnsi="Times New Roman" w:eastAsia="仿宋_GB2312"/>
          <w:sz w:val="32"/>
          <w:szCs w:val="32"/>
        </w:rPr>
      </w:pPr>
    </w:p>
    <w:sectPr>
      <w:footerReference r:id="rId3" w:type="default"/>
      <w:footerReference r:id="rId4" w:type="even"/>
      <w:pgSz w:w="11906" w:h="16838"/>
      <w:pgMar w:top="2155" w:right="1503" w:bottom="1985" w:left="1503"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等线">
    <w:altName w:val="汉仪中宋简"/>
    <w:panose1 w:val="02010600030101010101"/>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200101FF" w:csb1="20280000"/>
  </w:font>
  <w:font w:name="宋体_x0003_...销.">
    <w:altName w:val="方正书宋_GBK"/>
    <w:panose1 w:val="00000000000000000000"/>
    <w:charset w:val="00"/>
    <w:family w:val="auto"/>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rPr>
      <w:id w:val="1411739494"/>
    </w:sdtPr>
    <w:sdtEndPr>
      <w:rPr>
        <w:rFonts w:ascii="Times New Roman" w:hAnsi="Times New Roman"/>
      </w:rPr>
    </w:sdtEndPr>
    <w:sdtContent>
      <w:p>
        <w:pPr>
          <w:pStyle w:val="13"/>
          <w:rPr>
            <w:rFonts w:ascii="Times New Roman" w:hAnsi="Times New Roman"/>
          </w:rPr>
        </w:pPr>
        <w:r>
          <w:rPr>
            <w:rFonts w:ascii="Times New Roman" w:hAnsi="Times New Roman"/>
            <w:sz w:val="28"/>
          </w:rPr>
          <w:t xml:space="preserve">— </w:t>
        </w:r>
        <w:r>
          <w:rPr>
            <w:rStyle w:val="23"/>
            <w:rFonts w:ascii="Times New Roman" w:hAnsi="Times New Roman"/>
            <w:sz w:val="28"/>
          </w:rPr>
          <w:fldChar w:fldCharType="begin"/>
        </w:r>
        <w:r>
          <w:rPr>
            <w:rStyle w:val="23"/>
            <w:rFonts w:ascii="Times New Roman" w:hAnsi="Times New Roman"/>
            <w:sz w:val="28"/>
          </w:rPr>
          <w:instrText xml:space="preserve"> PAGE </w:instrText>
        </w:r>
        <w:r>
          <w:rPr>
            <w:rStyle w:val="23"/>
            <w:rFonts w:ascii="Times New Roman" w:hAnsi="Times New Roman"/>
            <w:sz w:val="28"/>
          </w:rPr>
          <w:fldChar w:fldCharType="separate"/>
        </w:r>
        <w:r>
          <w:rPr>
            <w:rStyle w:val="23"/>
            <w:rFonts w:ascii="Times New Roman" w:hAnsi="Times New Roman"/>
            <w:sz w:val="28"/>
          </w:rPr>
          <w:t>6</w:t>
        </w:r>
        <w:r>
          <w:rPr>
            <w:rStyle w:val="23"/>
            <w:rFonts w:ascii="Times New Roman" w:hAnsi="Times New Roman"/>
            <w:sz w:val="28"/>
          </w:rPr>
          <w:fldChar w:fldCharType="end"/>
        </w:r>
        <w:r>
          <w:rPr>
            <w:rFonts w:ascii="Times New Roman" w:hAnsi="Times New Roman"/>
            <w:sz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BE"/>
    <w:rsid w:val="000007E0"/>
    <w:rsid w:val="000016B3"/>
    <w:rsid w:val="000019CE"/>
    <w:rsid w:val="000027CC"/>
    <w:rsid w:val="000028BA"/>
    <w:rsid w:val="00011E2F"/>
    <w:rsid w:val="00015102"/>
    <w:rsid w:val="000165BB"/>
    <w:rsid w:val="00016C29"/>
    <w:rsid w:val="00020133"/>
    <w:rsid w:val="000249A5"/>
    <w:rsid w:val="00027C50"/>
    <w:rsid w:val="00027DDA"/>
    <w:rsid w:val="00030D07"/>
    <w:rsid w:val="0003177D"/>
    <w:rsid w:val="00032374"/>
    <w:rsid w:val="00032434"/>
    <w:rsid w:val="00032A5F"/>
    <w:rsid w:val="0003469F"/>
    <w:rsid w:val="00037834"/>
    <w:rsid w:val="000433AB"/>
    <w:rsid w:val="00043612"/>
    <w:rsid w:val="00044B76"/>
    <w:rsid w:val="0004603D"/>
    <w:rsid w:val="00046F3C"/>
    <w:rsid w:val="00052D3D"/>
    <w:rsid w:val="000560D9"/>
    <w:rsid w:val="00062E0E"/>
    <w:rsid w:val="00067285"/>
    <w:rsid w:val="00070860"/>
    <w:rsid w:val="00071D58"/>
    <w:rsid w:val="00073773"/>
    <w:rsid w:val="00075DE8"/>
    <w:rsid w:val="00076A44"/>
    <w:rsid w:val="000809C2"/>
    <w:rsid w:val="00081E4F"/>
    <w:rsid w:val="0008436B"/>
    <w:rsid w:val="00085636"/>
    <w:rsid w:val="000856F2"/>
    <w:rsid w:val="00085D89"/>
    <w:rsid w:val="00093258"/>
    <w:rsid w:val="00093EDE"/>
    <w:rsid w:val="000A2352"/>
    <w:rsid w:val="000A39F1"/>
    <w:rsid w:val="000A3F10"/>
    <w:rsid w:val="000A4CA2"/>
    <w:rsid w:val="000A5440"/>
    <w:rsid w:val="000B179A"/>
    <w:rsid w:val="000B1EF5"/>
    <w:rsid w:val="000B4ACE"/>
    <w:rsid w:val="000B641D"/>
    <w:rsid w:val="000C0DBB"/>
    <w:rsid w:val="000C5ACA"/>
    <w:rsid w:val="000C64F6"/>
    <w:rsid w:val="000C6E7C"/>
    <w:rsid w:val="000D2040"/>
    <w:rsid w:val="000D22E9"/>
    <w:rsid w:val="000D2B08"/>
    <w:rsid w:val="000D3290"/>
    <w:rsid w:val="000E3167"/>
    <w:rsid w:val="000E3862"/>
    <w:rsid w:val="000E3C1A"/>
    <w:rsid w:val="000E5C3D"/>
    <w:rsid w:val="000E6307"/>
    <w:rsid w:val="000E6729"/>
    <w:rsid w:val="000F11A2"/>
    <w:rsid w:val="000F15FE"/>
    <w:rsid w:val="000F1CD6"/>
    <w:rsid w:val="000F291E"/>
    <w:rsid w:val="000F3742"/>
    <w:rsid w:val="0010492A"/>
    <w:rsid w:val="00111D1E"/>
    <w:rsid w:val="001138F5"/>
    <w:rsid w:val="00117087"/>
    <w:rsid w:val="00117CB0"/>
    <w:rsid w:val="00120A10"/>
    <w:rsid w:val="00123629"/>
    <w:rsid w:val="00124ED3"/>
    <w:rsid w:val="001341FC"/>
    <w:rsid w:val="00134507"/>
    <w:rsid w:val="00134A84"/>
    <w:rsid w:val="00135F27"/>
    <w:rsid w:val="001404CA"/>
    <w:rsid w:val="00142DF1"/>
    <w:rsid w:val="00145089"/>
    <w:rsid w:val="001471FF"/>
    <w:rsid w:val="00147D82"/>
    <w:rsid w:val="001617E9"/>
    <w:rsid w:val="001649AA"/>
    <w:rsid w:val="00165695"/>
    <w:rsid w:val="00166737"/>
    <w:rsid w:val="0017071B"/>
    <w:rsid w:val="00174127"/>
    <w:rsid w:val="00177104"/>
    <w:rsid w:val="0017766B"/>
    <w:rsid w:val="001823E2"/>
    <w:rsid w:val="00192850"/>
    <w:rsid w:val="00195769"/>
    <w:rsid w:val="00197F8A"/>
    <w:rsid w:val="001A1FA7"/>
    <w:rsid w:val="001A3D16"/>
    <w:rsid w:val="001A768D"/>
    <w:rsid w:val="001A7F3E"/>
    <w:rsid w:val="001B0B63"/>
    <w:rsid w:val="001B2D77"/>
    <w:rsid w:val="001B30F6"/>
    <w:rsid w:val="001B34E9"/>
    <w:rsid w:val="001C0400"/>
    <w:rsid w:val="001C0C82"/>
    <w:rsid w:val="001C106F"/>
    <w:rsid w:val="001C611E"/>
    <w:rsid w:val="001D23CC"/>
    <w:rsid w:val="001D2EDF"/>
    <w:rsid w:val="001E5721"/>
    <w:rsid w:val="001F40DC"/>
    <w:rsid w:val="001F632C"/>
    <w:rsid w:val="001F7442"/>
    <w:rsid w:val="0020520E"/>
    <w:rsid w:val="00205913"/>
    <w:rsid w:val="00205EE7"/>
    <w:rsid w:val="00206D15"/>
    <w:rsid w:val="002074DD"/>
    <w:rsid w:val="0021369F"/>
    <w:rsid w:val="0021403A"/>
    <w:rsid w:val="00216782"/>
    <w:rsid w:val="00217975"/>
    <w:rsid w:val="00217ED8"/>
    <w:rsid w:val="0022160C"/>
    <w:rsid w:val="00222465"/>
    <w:rsid w:val="002318E8"/>
    <w:rsid w:val="00243C08"/>
    <w:rsid w:val="00246B18"/>
    <w:rsid w:val="002505EB"/>
    <w:rsid w:val="00252A9E"/>
    <w:rsid w:val="00253D7A"/>
    <w:rsid w:val="0026160F"/>
    <w:rsid w:val="002616AE"/>
    <w:rsid w:val="00263A55"/>
    <w:rsid w:val="0026512A"/>
    <w:rsid w:val="002726D4"/>
    <w:rsid w:val="002749CF"/>
    <w:rsid w:val="002765C9"/>
    <w:rsid w:val="00280211"/>
    <w:rsid w:val="0028543E"/>
    <w:rsid w:val="00285EE2"/>
    <w:rsid w:val="002864A7"/>
    <w:rsid w:val="0029040C"/>
    <w:rsid w:val="00292A11"/>
    <w:rsid w:val="00294A0C"/>
    <w:rsid w:val="002B5C38"/>
    <w:rsid w:val="002B6BE1"/>
    <w:rsid w:val="002C1575"/>
    <w:rsid w:val="002C3F40"/>
    <w:rsid w:val="002C4D3D"/>
    <w:rsid w:val="002C7A1D"/>
    <w:rsid w:val="002D568F"/>
    <w:rsid w:val="002D5F4A"/>
    <w:rsid w:val="002D681D"/>
    <w:rsid w:val="002D72C1"/>
    <w:rsid w:val="002E79CB"/>
    <w:rsid w:val="002F021D"/>
    <w:rsid w:val="002F6BF4"/>
    <w:rsid w:val="003037E1"/>
    <w:rsid w:val="00303C1F"/>
    <w:rsid w:val="00303FE5"/>
    <w:rsid w:val="003042F9"/>
    <w:rsid w:val="0030465A"/>
    <w:rsid w:val="00304EBE"/>
    <w:rsid w:val="003123DF"/>
    <w:rsid w:val="00313C60"/>
    <w:rsid w:val="0031501E"/>
    <w:rsid w:val="00317A4A"/>
    <w:rsid w:val="00321D0B"/>
    <w:rsid w:val="003236D5"/>
    <w:rsid w:val="00323773"/>
    <w:rsid w:val="003309DA"/>
    <w:rsid w:val="003314DF"/>
    <w:rsid w:val="0033243E"/>
    <w:rsid w:val="003338B9"/>
    <w:rsid w:val="00334AC0"/>
    <w:rsid w:val="00334DF7"/>
    <w:rsid w:val="00336143"/>
    <w:rsid w:val="003419B8"/>
    <w:rsid w:val="00342A02"/>
    <w:rsid w:val="00343B54"/>
    <w:rsid w:val="00345C82"/>
    <w:rsid w:val="0034734A"/>
    <w:rsid w:val="00354212"/>
    <w:rsid w:val="003546EA"/>
    <w:rsid w:val="00355303"/>
    <w:rsid w:val="00355CC1"/>
    <w:rsid w:val="003568A2"/>
    <w:rsid w:val="00361677"/>
    <w:rsid w:val="003643FF"/>
    <w:rsid w:val="0036460E"/>
    <w:rsid w:val="00365705"/>
    <w:rsid w:val="00365A67"/>
    <w:rsid w:val="0036686E"/>
    <w:rsid w:val="00372274"/>
    <w:rsid w:val="003722F5"/>
    <w:rsid w:val="00372571"/>
    <w:rsid w:val="003746D1"/>
    <w:rsid w:val="00386FA6"/>
    <w:rsid w:val="003871FD"/>
    <w:rsid w:val="003873DA"/>
    <w:rsid w:val="003916E7"/>
    <w:rsid w:val="0039368F"/>
    <w:rsid w:val="00395E71"/>
    <w:rsid w:val="00397C33"/>
    <w:rsid w:val="003A1235"/>
    <w:rsid w:val="003A3FF8"/>
    <w:rsid w:val="003B4D56"/>
    <w:rsid w:val="003B6958"/>
    <w:rsid w:val="003C0750"/>
    <w:rsid w:val="003C3734"/>
    <w:rsid w:val="003C7A4A"/>
    <w:rsid w:val="003D0D38"/>
    <w:rsid w:val="003D506B"/>
    <w:rsid w:val="003D5EAA"/>
    <w:rsid w:val="003D63FC"/>
    <w:rsid w:val="003E6D66"/>
    <w:rsid w:val="003F005A"/>
    <w:rsid w:val="003F0B9A"/>
    <w:rsid w:val="003F200C"/>
    <w:rsid w:val="003F3356"/>
    <w:rsid w:val="003F6D76"/>
    <w:rsid w:val="003F7618"/>
    <w:rsid w:val="003F7985"/>
    <w:rsid w:val="00401215"/>
    <w:rsid w:val="00404596"/>
    <w:rsid w:val="00405782"/>
    <w:rsid w:val="00405953"/>
    <w:rsid w:val="00405B5B"/>
    <w:rsid w:val="00407B46"/>
    <w:rsid w:val="0041155D"/>
    <w:rsid w:val="00412038"/>
    <w:rsid w:val="00413402"/>
    <w:rsid w:val="00415097"/>
    <w:rsid w:val="004154E0"/>
    <w:rsid w:val="0041604E"/>
    <w:rsid w:val="0042468A"/>
    <w:rsid w:val="00427B3D"/>
    <w:rsid w:val="00427F5C"/>
    <w:rsid w:val="00432F50"/>
    <w:rsid w:val="004340F4"/>
    <w:rsid w:val="00434BA8"/>
    <w:rsid w:val="00435A2D"/>
    <w:rsid w:val="00437626"/>
    <w:rsid w:val="0044443A"/>
    <w:rsid w:val="00445EC1"/>
    <w:rsid w:val="004507E8"/>
    <w:rsid w:val="0045094F"/>
    <w:rsid w:val="004511BD"/>
    <w:rsid w:val="004521D8"/>
    <w:rsid w:val="00452940"/>
    <w:rsid w:val="00452B08"/>
    <w:rsid w:val="004530B1"/>
    <w:rsid w:val="00454DA6"/>
    <w:rsid w:val="00460293"/>
    <w:rsid w:val="0046075E"/>
    <w:rsid w:val="00460FD2"/>
    <w:rsid w:val="00462986"/>
    <w:rsid w:val="00463459"/>
    <w:rsid w:val="004704E7"/>
    <w:rsid w:val="00471DDD"/>
    <w:rsid w:val="00473C97"/>
    <w:rsid w:val="00474843"/>
    <w:rsid w:val="004834C1"/>
    <w:rsid w:val="0048397B"/>
    <w:rsid w:val="00484626"/>
    <w:rsid w:val="00485971"/>
    <w:rsid w:val="00485B4C"/>
    <w:rsid w:val="00485DA9"/>
    <w:rsid w:val="00487ABE"/>
    <w:rsid w:val="004917A2"/>
    <w:rsid w:val="00492F84"/>
    <w:rsid w:val="00493E51"/>
    <w:rsid w:val="00494826"/>
    <w:rsid w:val="004A2DB5"/>
    <w:rsid w:val="004A3175"/>
    <w:rsid w:val="004A4946"/>
    <w:rsid w:val="004A60EA"/>
    <w:rsid w:val="004A73E0"/>
    <w:rsid w:val="004B2545"/>
    <w:rsid w:val="004B6ABD"/>
    <w:rsid w:val="004B74CA"/>
    <w:rsid w:val="004C0868"/>
    <w:rsid w:val="004C1334"/>
    <w:rsid w:val="004C43E1"/>
    <w:rsid w:val="004C70BC"/>
    <w:rsid w:val="004D0A10"/>
    <w:rsid w:val="004D14B1"/>
    <w:rsid w:val="004D243B"/>
    <w:rsid w:val="004D486D"/>
    <w:rsid w:val="004D69A2"/>
    <w:rsid w:val="004D79CB"/>
    <w:rsid w:val="004E0F8F"/>
    <w:rsid w:val="004E60EC"/>
    <w:rsid w:val="004F0779"/>
    <w:rsid w:val="004F0B54"/>
    <w:rsid w:val="004F1965"/>
    <w:rsid w:val="004F1FFA"/>
    <w:rsid w:val="004F43C1"/>
    <w:rsid w:val="004F4952"/>
    <w:rsid w:val="004F6980"/>
    <w:rsid w:val="00507337"/>
    <w:rsid w:val="00511ED5"/>
    <w:rsid w:val="005128CA"/>
    <w:rsid w:val="0051579D"/>
    <w:rsid w:val="0052148A"/>
    <w:rsid w:val="00521531"/>
    <w:rsid w:val="00521A1F"/>
    <w:rsid w:val="005234F9"/>
    <w:rsid w:val="00525869"/>
    <w:rsid w:val="00526DC9"/>
    <w:rsid w:val="005279CE"/>
    <w:rsid w:val="00530294"/>
    <w:rsid w:val="00537CD8"/>
    <w:rsid w:val="00537D59"/>
    <w:rsid w:val="005426AF"/>
    <w:rsid w:val="00543CB9"/>
    <w:rsid w:val="0054518B"/>
    <w:rsid w:val="00546F73"/>
    <w:rsid w:val="0055009F"/>
    <w:rsid w:val="00552C0A"/>
    <w:rsid w:val="00553305"/>
    <w:rsid w:val="0055370D"/>
    <w:rsid w:val="00556152"/>
    <w:rsid w:val="0056093E"/>
    <w:rsid w:val="005615D3"/>
    <w:rsid w:val="00562DDB"/>
    <w:rsid w:val="005648E3"/>
    <w:rsid w:val="00564CCA"/>
    <w:rsid w:val="00570CE7"/>
    <w:rsid w:val="00573410"/>
    <w:rsid w:val="00573832"/>
    <w:rsid w:val="0057777C"/>
    <w:rsid w:val="00580BFE"/>
    <w:rsid w:val="0058469F"/>
    <w:rsid w:val="005849C3"/>
    <w:rsid w:val="00585291"/>
    <w:rsid w:val="00585461"/>
    <w:rsid w:val="0058580C"/>
    <w:rsid w:val="00586E7E"/>
    <w:rsid w:val="00590035"/>
    <w:rsid w:val="005A5ECE"/>
    <w:rsid w:val="005A69F7"/>
    <w:rsid w:val="005A78E9"/>
    <w:rsid w:val="005B0078"/>
    <w:rsid w:val="005B3628"/>
    <w:rsid w:val="005C23E6"/>
    <w:rsid w:val="005C3D17"/>
    <w:rsid w:val="005C6ECD"/>
    <w:rsid w:val="005C778D"/>
    <w:rsid w:val="005D0F91"/>
    <w:rsid w:val="005D2150"/>
    <w:rsid w:val="005D5C6F"/>
    <w:rsid w:val="005D7840"/>
    <w:rsid w:val="005D7AD4"/>
    <w:rsid w:val="005D7C6B"/>
    <w:rsid w:val="005E10B5"/>
    <w:rsid w:val="005E1FC8"/>
    <w:rsid w:val="005E254F"/>
    <w:rsid w:val="005E25AE"/>
    <w:rsid w:val="005E2AE0"/>
    <w:rsid w:val="005E53B3"/>
    <w:rsid w:val="005E5633"/>
    <w:rsid w:val="005E5AC0"/>
    <w:rsid w:val="005E770B"/>
    <w:rsid w:val="005F76AA"/>
    <w:rsid w:val="00600CB6"/>
    <w:rsid w:val="006016D8"/>
    <w:rsid w:val="006043AB"/>
    <w:rsid w:val="00607BF2"/>
    <w:rsid w:val="0061208A"/>
    <w:rsid w:val="006144B4"/>
    <w:rsid w:val="00614956"/>
    <w:rsid w:val="006150F9"/>
    <w:rsid w:val="00617E1B"/>
    <w:rsid w:val="00621376"/>
    <w:rsid w:val="0062718C"/>
    <w:rsid w:val="0062723D"/>
    <w:rsid w:val="00630C2F"/>
    <w:rsid w:val="00631464"/>
    <w:rsid w:val="00634FFB"/>
    <w:rsid w:val="00640783"/>
    <w:rsid w:val="00642B40"/>
    <w:rsid w:val="00642D3B"/>
    <w:rsid w:val="00646C48"/>
    <w:rsid w:val="00647B78"/>
    <w:rsid w:val="00651BBD"/>
    <w:rsid w:val="00657CEF"/>
    <w:rsid w:val="00665B3C"/>
    <w:rsid w:val="00666244"/>
    <w:rsid w:val="00672141"/>
    <w:rsid w:val="00677035"/>
    <w:rsid w:val="00680072"/>
    <w:rsid w:val="0068312B"/>
    <w:rsid w:val="00684DC2"/>
    <w:rsid w:val="00686219"/>
    <w:rsid w:val="006869A0"/>
    <w:rsid w:val="006903D1"/>
    <w:rsid w:val="006915F6"/>
    <w:rsid w:val="006919EF"/>
    <w:rsid w:val="00691B74"/>
    <w:rsid w:val="00692D85"/>
    <w:rsid w:val="006953EB"/>
    <w:rsid w:val="0069724B"/>
    <w:rsid w:val="006A7B31"/>
    <w:rsid w:val="006B0CD3"/>
    <w:rsid w:val="006B3C9D"/>
    <w:rsid w:val="006B4425"/>
    <w:rsid w:val="006B4444"/>
    <w:rsid w:val="006B6286"/>
    <w:rsid w:val="006B6D5D"/>
    <w:rsid w:val="006B7236"/>
    <w:rsid w:val="006C0B4A"/>
    <w:rsid w:val="006C1540"/>
    <w:rsid w:val="006C35D3"/>
    <w:rsid w:val="006D3FA1"/>
    <w:rsid w:val="006D5064"/>
    <w:rsid w:val="006D6A52"/>
    <w:rsid w:val="006E0265"/>
    <w:rsid w:val="006E0556"/>
    <w:rsid w:val="006E51D5"/>
    <w:rsid w:val="006E5399"/>
    <w:rsid w:val="006E5800"/>
    <w:rsid w:val="006E5DDE"/>
    <w:rsid w:val="006F0E6D"/>
    <w:rsid w:val="006F369A"/>
    <w:rsid w:val="006F3C4B"/>
    <w:rsid w:val="006F46A8"/>
    <w:rsid w:val="006F5896"/>
    <w:rsid w:val="006F76FB"/>
    <w:rsid w:val="00700937"/>
    <w:rsid w:val="00715291"/>
    <w:rsid w:val="00715E1A"/>
    <w:rsid w:val="00720ED5"/>
    <w:rsid w:val="0072152A"/>
    <w:rsid w:val="00721C63"/>
    <w:rsid w:val="00724414"/>
    <w:rsid w:val="007278A7"/>
    <w:rsid w:val="00731D9C"/>
    <w:rsid w:val="0073222D"/>
    <w:rsid w:val="00734DD7"/>
    <w:rsid w:val="007405DF"/>
    <w:rsid w:val="007414D4"/>
    <w:rsid w:val="00741985"/>
    <w:rsid w:val="00745243"/>
    <w:rsid w:val="007452FB"/>
    <w:rsid w:val="00745671"/>
    <w:rsid w:val="00751A60"/>
    <w:rsid w:val="00751BBA"/>
    <w:rsid w:val="0075215B"/>
    <w:rsid w:val="007570E3"/>
    <w:rsid w:val="007578C8"/>
    <w:rsid w:val="00757BB4"/>
    <w:rsid w:val="00770810"/>
    <w:rsid w:val="007742C5"/>
    <w:rsid w:val="0077506C"/>
    <w:rsid w:val="007752EB"/>
    <w:rsid w:val="0078076C"/>
    <w:rsid w:val="00784723"/>
    <w:rsid w:val="00784BF2"/>
    <w:rsid w:val="0078654E"/>
    <w:rsid w:val="00786F6B"/>
    <w:rsid w:val="0078757F"/>
    <w:rsid w:val="0078791A"/>
    <w:rsid w:val="00787DBD"/>
    <w:rsid w:val="007904A0"/>
    <w:rsid w:val="00790DC4"/>
    <w:rsid w:val="00796322"/>
    <w:rsid w:val="00796948"/>
    <w:rsid w:val="007A40C2"/>
    <w:rsid w:val="007A6F51"/>
    <w:rsid w:val="007A78BF"/>
    <w:rsid w:val="007A7C79"/>
    <w:rsid w:val="007B08C9"/>
    <w:rsid w:val="007B2DDE"/>
    <w:rsid w:val="007B7EA7"/>
    <w:rsid w:val="007C015A"/>
    <w:rsid w:val="007C0B5F"/>
    <w:rsid w:val="007C0E8B"/>
    <w:rsid w:val="007C1990"/>
    <w:rsid w:val="007C4030"/>
    <w:rsid w:val="007C4039"/>
    <w:rsid w:val="007C57DC"/>
    <w:rsid w:val="007C6914"/>
    <w:rsid w:val="007D0E61"/>
    <w:rsid w:val="007D4F43"/>
    <w:rsid w:val="007D5005"/>
    <w:rsid w:val="007D78E3"/>
    <w:rsid w:val="007E4FE1"/>
    <w:rsid w:val="007E5813"/>
    <w:rsid w:val="007F0A03"/>
    <w:rsid w:val="007F2E43"/>
    <w:rsid w:val="007F3AE9"/>
    <w:rsid w:val="007F44B9"/>
    <w:rsid w:val="007F4D84"/>
    <w:rsid w:val="007F687D"/>
    <w:rsid w:val="00803A81"/>
    <w:rsid w:val="008109F6"/>
    <w:rsid w:val="008120D0"/>
    <w:rsid w:val="008120DC"/>
    <w:rsid w:val="00812290"/>
    <w:rsid w:val="00817A74"/>
    <w:rsid w:val="00822664"/>
    <w:rsid w:val="00825F1D"/>
    <w:rsid w:val="00831C96"/>
    <w:rsid w:val="00832D2A"/>
    <w:rsid w:val="00834A2E"/>
    <w:rsid w:val="00834C71"/>
    <w:rsid w:val="00834CE4"/>
    <w:rsid w:val="00835EEE"/>
    <w:rsid w:val="00836FFC"/>
    <w:rsid w:val="0083700C"/>
    <w:rsid w:val="008405F7"/>
    <w:rsid w:val="00842489"/>
    <w:rsid w:val="00847C4F"/>
    <w:rsid w:val="00850370"/>
    <w:rsid w:val="00853029"/>
    <w:rsid w:val="008553E7"/>
    <w:rsid w:val="00857FDA"/>
    <w:rsid w:val="00860AFD"/>
    <w:rsid w:val="00861269"/>
    <w:rsid w:val="0086187A"/>
    <w:rsid w:val="008618BD"/>
    <w:rsid w:val="00863E3C"/>
    <w:rsid w:val="00865E24"/>
    <w:rsid w:val="00867F52"/>
    <w:rsid w:val="008722FE"/>
    <w:rsid w:val="00873522"/>
    <w:rsid w:val="00873EDD"/>
    <w:rsid w:val="0087402C"/>
    <w:rsid w:val="00874500"/>
    <w:rsid w:val="00874709"/>
    <w:rsid w:val="008750D3"/>
    <w:rsid w:val="00876F08"/>
    <w:rsid w:val="00881516"/>
    <w:rsid w:val="0088171A"/>
    <w:rsid w:val="00883C65"/>
    <w:rsid w:val="00884C8D"/>
    <w:rsid w:val="0088796A"/>
    <w:rsid w:val="00891E07"/>
    <w:rsid w:val="00894C6E"/>
    <w:rsid w:val="008970CE"/>
    <w:rsid w:val="008A40D7"/>
    <w:rsid w:val="008A490E"/>
    <w:rsid w:val="008A7BE2"/>
    <w:rsid w:val="008B19D9"/>
    <w:rsid w:val="008B33E5"/>
    <w:rsid w:val="008B3682"/>
    <w:rsid w:val="008C10BF"/>
    <w:rsid w:val="008C4CB4"/>
    <w:rsid w:val="008C56C1"/>
    <w:rsid w:val="008C5CD3"/>
    <w:rsid w:val="008C6055"/>
    <w:rsid w:val="008C78F4"/>
    <w:rsid w:val="008D1DFF"/>
    <w:rsid w:val="008D3136"/>
    <w:rsid w:val="008D3AEC"/>
    <w:rsid w:val="008D3FD8"/>
    <w:rsid w:val="008D4485"/>
    <w:rsid w:val="008D7857"/>
    <w:rsid w:val="008E0FD4"/>
    <w:rsid w:val="008E1283"/>
    <w:rsid w:val="008E226D"/>
    <w:rsid w:val="008E6B1B"/>
    <w:rsid w:val="008E7F0A"/>
    <w:rsid w:val="008F37F6"/>
    <w:rsid w:val="009011E6"/>
    <w:rsid w:val="009026FF"/>
    <w:rsid w:val="00906E85"/>
    <w:rsid w:val="009079AF"/>
    <w:rsid w:val="009117EA"/>
    <w:rsid w:val="009264F8"/>
    <w:rsid w:val="00934778"/>
    <w:rsid w:val="009347EF"/>
    <w:rsid w:val="00934A5F"/>
    <w:rsid w:val="00936E05"/>
    <w:rsid w:val="0094786A"/>
    <w:rsid w:val="00955F19"/>
    <w:rsid w:val="00956160"/>
    <w:rsid w:val="0096724F"/>
    <w:rsid w:val="009707D7"/>
    <w:rsid w:val="00970F7D"/>
    <w:rsid w:val="009713FF"/>
    <w:rsid w:val="00974063"/>
    <w:rsid w:val="00976AE2"/>
    <w:rsid w:val="00977916"/>
    <w:rsid w:val="00982754"/>
    <w:rsid w:val="00983620"/>
    <w:rsid w:val="0098394A"/>
    <w:rsid w:val="0098495B"/>
    <w:rsid w:val="00991DD1"/>
    <w:rsid w:val="00996CFB"/>
    <w:rsid w:val="009A6364"/>
    <w:rsid w:val="009B1AF0"/>
    <w:rsid w:val="009B2249"/>
    <w:rsid w:val="009B2472"/>
    <w:rsid w:val="009B30E7"/>
    <w:rsid w:val="009B5352"/>
    <w:rsid w:val="009B6021"/>
    <w:rsid w:val="009C1EA1"/>
    <w:rsid w:val="009C2510"/>
    <w:rsid w:val="009C46F7"/>
    <w:rsid w:val="009C5CA2"/>
    <w:rsid w:val="009C67E2"/>
    <w:rsid w:val="009C7668"/>
    <w:rsid w:val="009D1EEC"/>
    <w:rsid w:val="009D1F97"/>
    <w:rsid w:val="009D2D67"/>
    <w:rsid w:val="009D5659"/>
    <w:rsid w:val="009D5A92"/>
    <w:rsid w:val="009D7408"/>
    <w:rsid w:val="009E04F1"/>
    <w:rsid w:val="009E145B"/>
    <w:rsid w:val="009E25D8"/>
    <w:rsid w:val="009E535C"/>
    <w:rsid w:val="009F5906"/>
    <w:rsid w:val="00A020B4"/>
    <w:rsid w:val="00A0276A"/>
    <w:rsid w:val="00A05D55"/>
    <w:rsid w:val="00A05E3A"/>
    <w:rsid w:val="00A07504"/>
    <w:rsid w:val="00A115CD"/>
    <w:rsid w:val="00A12535"/>
    <w:rsid w:val="00A13D2E"/>
    <w:rsid w:val="00A157B8"/>
    <w:rsid w:val="00A1745B"/>
    <w:rsid w:val="00A179AE"/>
    <w:rsid w:val="00A21B59"/>
    <w:rsid w:val="00A24ADC"/>
    <w:rsid w:val="00A24E17"/>
    <w:rsid w:val="00A26D36"/>
    <w:rsid w:val="00A32C42"/>
    <w:rsid w:val="00A334A6"/>
    <w:rsid w:val="00A33FA4"/>
    <w:rsid w:val="00A37995"/>
    <w:rsid w:val="00A37B3F"/>
    <w:rsid w:val="00A4280D"/>
    <w:rsid w:val="00A431A8"/>
    <w:rsid w:val="00A43329"/>
    <w:rsid w:val="00A43C88"/>
    <w:rsid w:val="00A44A8C"/>
    <w:rsid w:val="00A45366"/>
    <w:rsid w:val="00A46AF8"/>
    <w:rsid w:val="00A51075"/>
    <w:rsid w:val="00A51FC7"/>
    <w:rsid w:val="00A52521"/>
    <w:rsid w:val="00A560F0"/>
    <w:rsid w:val="00A57846"/>
    <w:rsid w:val="00A61824"/>
    <w:rsid w:val="00A624BC"/>
    <w:rsid w:val="00A67043"/>
    <w:rsid w:val="00A674B1"/>
    <w:rsid w:val="00A72357"/>
    <w:rsid w:val="00A72892"/>
    <w:rsid w:val="00A74CE2"/>
    <w:rsid w:val="00A75C63"/>
    <w:rsid w:val="00A80130"/>
    <w:rsid w:val="00A80D41"/>
    <w:rsid w:val="00A8524B"/>
    <w:rsid w:val="00A87A5F"/>
    <w:rsid w:val="00A87BCC"/>
    <w:rsid w:val="00A943B2"/>
    <w:rsid w:val="00A97AEF"/>
    <w:rsid w:val="00A97FFA"/>
    <w:rsid w:val="00AA037F"/>
    <w:rsid w:val="00AA5F0E"/>
    <w:rsid w:val="00AA7D7E"/>
    <w:rsid w:val="00AB0CDD"/>
    <w:rsid w:val="00AB2916"/>
    <w:rsid w:val="00AB3B14"/>
    <w:rsid w:val="00AB7093"/>
    <w:rsid w:val="00AC0047"/>
    <w:rsid w:val="00AC5253"/>
    <w:rsid w:val="00AC6C5B"/>
    <w:rsid w:val="00AD0FA6"/>
    <w:rsid w:val="00AD63D2"/>
    <w:rsid w:val="00AD6567"/>
    <w:rsid w:val="00AD6BBA"/>
    <w:rsid w:val="00AE12B3"/>
    <w:rsid w:val="00AE7420"/>
    <w:rsid w:val="00AF3EF5"/>
    <w:rsid w:val="00AF6F8A"/>
    <w:rsid w:val="00AF7380"/>
    <w:rsid w:val="00B01814"/>
    <w:rsid w:val="00B0255E"/>
    <w:rsid w:val="00B03818"/>
    <w:rsid w:val="00B03C11"/>
    <w:rsid w:val="00B060BE"/>
    <w:rsid w:val="00B0627D"/>
    <w:rsid w:val="00B0735E"/>
    <w:rsid w:val="00B10425"/>
    <w:rsid w:val="00B105CB"/>
    <w:rsid w:val="00B11936"/>
    <w:rsid w:val="00B177B2"/>
    <w:rsid w:val="00B20D52"/>
    <w:rsid w:val="00B210B3"/>
    <w:rsid w:val="00B242D2"/>
    <w:rsid w:val="00B24DCC"/>
    <w:rsid w:val="00B26B4F"/>
    <w:rsid w:val="00B279CF"/>
    <w:rsid w:val="00B27E74"/>
    <w:rsid w:val="00B303A2"/>
    <w:rsid w:val="00B33774"/>
    <w:rsid w:val="00B42458"/>
    <w:rsid w:val="00B543D3"/>
    <w:rsid w:val="00B54A0C"/>
    <w:rsid w:val="00B5544C"/>
    <w:rsid w:val="00B554BB"/>
    <w:rsid w:val="00B61BD0"/>
    <w:rsid w:val="00B64E3A"/>
    <w:rsid w:val="00B65C40"/>
    <w:rsid w:val="00B701CC"/>
    <w:rsid w:val="00B72464"/>
    <w:rsid w:val="00B73DFF"/>
    <w:rsid w:val="00B77654"/>
    <w:rsid w:val="00B80AB6"/>
    <w:rsid w:val="00B837C7"/>
    <w:rsid w:val="00B83F80"/>
    <w:rsid w:val="00B8459F"/>
    <w:rsid w:val="00B86A8A"/>
    <w:rsid w:val="00B91744"/>
    <w:rsid w:val="00B92549"/>
    <w:rsid w:val="00B97268"/>
    <w:rsid w:val="00B97E21"/>
    <w:rsid w:val="00BA0321"/>
    <w:rsid w:val="00BA0DED"/>
    <w:rsid w:val="00BA17CC"/>
    <w:rsid w:val="00BA2ADF"/>
    <w:rsid w:val="00BA6E6E"/>
    <w:rsid w:val="00BB12AE"/>
    <w:rsid w:val="00BB459B"/>
    <w:rsid w:val="00BB7C8D"/>
    <w:rsid w:val="00BC31F5"/>
    <w:rsid w:val="00BC3712"/>
    <w:rsid w:val="00BC71F1"/>
    <w:rsid w:val="00BD1966"/>
    <w:rsid w:val="00BD39BE"/>
    <w:rsid w:val="00BD6685"/>
    <w:rsid w:val="00BE3402"/>
    <w:rsid w:val="00BE460C"/>
    <w:rsid w:val="00BE4AA2"/>
    <w:rsid w:val="00BE53EE"/>
    <w:rsid w:val="00BE64B5"/>
    <w:rsid w:val="00BF0D0F"/>
    <w:rsid w:val="00BF518D"/>
    <w:rsid w:val="00BF585A"/>
    <w:rsid w:val="00BF6CDE"/>
    <w:rsid w:val="00C0159D"/>
    <w:rsid w:val="00C01BB0"/>
    <w:rsid w:val="00C045D9"/>
    <w:rsid w:val="00C068C6"/>
    <w:rsid w:val="00C11B82"/>
    <w:rsid w:val="00C133E3"/>
    <w:rsid w:val="00C16957"/>
    <w:rsid w:val="00C24C0D"/>
    <w:rsid w:val="00C275EE"/>
    <w:rsid w:val="00C27FBB"/>
    <w:rsid w:val="00C27FE7"/>
    <w:rsid w:val="00C321DD"/>
    <w:rsid w:val="00C3557F"/>
    <w:rsid w:val="00C35E89"/>
    <w:rsid w:val="00C379D8"/>
    <w:rsid w:val="00C37F21"/>
    <w:rsid w:val="00C54D26"/>
    <w:rsid w:val="00C5654E"/>
    <w:rsid w:val="00C60668"/>
    <w:rsid w:val="00C61B4F"/>
    <w:rsid w:val="00C62BF1"/>
    <w:rsid w:val="00C63F4E"/>
    <w:rsid w:val="00C6731F"/>
    <w:rsid w:val="00C67E44"/>
    <w:rsid w:val="00C71B77"/>
    <w:rsid w:val="00C730D6"/>
    <w:rsid w:val="00C73F37"/>
    <w:rsid w:val="00C74CC5"/>
    <w:rsid w:val="00C76CDA"/>
    <w:rsid w:val="00C7775D"/>
    <w:rsid w:val="00C77AAF"/>
    <w:rsid w:val="00C835BE"/>
    <w:rsid w:val="00C87446"/>
    <w:rsid w:val="00C91E82"/>
    <w:rsid w:val="00C97F5B"/>
    <w:rsid w:val="00CA0058"/>
    <w:rsid w:val="00CA5192"/>
    <w:rsid w:val="00CA6353"/>
    <w:rsid w:val="00CA78A8"/>
    <w:rsid w:val="00CB076A"/>
    <w:rsid w:val="00CB1E7E"/>
    <w:rsid w:val="00CB4EC6"/>
    <w:rsid w:val="00CC402D"/>
    <w:rsid w:val="00CC6FB5"/>
    <w:rsid w:val="00CD183D"/>
    <w:rsid w:val="00CD2C59"/>
    <w:rsid w:val="00CD3F61"/>
    <w:rsid w:val="00CE1C66"/>
    <w:rsid w:val="00CE2C94"/>
    <w:rsid w:val="00CE364D"/>
    <w:rsid w:val="00CE5D27"/>
    <w:rsid w:val="00CE72B6"/>
    <w:rsid w:val="00CF110B"/>
    <w:rsid w:val="00CF317B"/>
    <w:rsid w:val="00CF3A3A"/>
    <w:rsid w:val="00CF641E"/>
    <w:rsid w:val="00D01429"/>
    <w:rsid w:val="00D015AD"/>
    <w:rsid w:val="00D102C7"/>
    <w:rsid w:val="00D10EB6"/>
    <w:rsid w:val="00D1233B"/>
    <w:rsid w:val="00D127AB"/>
    <w:rsid w:val="00D13A05"/>
    <w:rsid w:val="00D17557"/>
    <w:rsid w:val="00D20641"/>
    <w:rsid w:val="00D20920"/>
    <w:rsid w:val="00D24915"/>
    <w:rsid w:val="00D30AB1"/>
    <w:rsid w:val="00D30ABE"/>
    <w:rsid w:val="00D33BC9"/>
    <w:rsid w:val="00D41D30"/>
    <w:rsid w:val="00D41F10"/>
    <w:rsid w:val="00D507F7"/>
    <w:rsid w:val="00D51D9C"/>
    <w:rsid w:val="00D5311C"/>
    <w:rsid w:val="00D56017"/>
    <w:rsid w:val="00D6044B"/>
    <w:rsid w:val="00D61D23"/>
    <w:rsid w:val="00D63A12"/>
    <w:rsid w:val="00D65042"/>
    <w:rsid w:val="00D65238"/>
    <w:rsid w:val="00D65B82"/>
    <w:rsid w:val="00D67001"/>
    <w:rsid w:val="00D6768D"/>
    <w:rsid w:val="00D67842"/>
    <w:rsid w:val="00D71726"/>
    <w:rsid w:val="00D74832"/>
    <w:rsid w:val="00D75F9C"/>
    <w:rsid w:val="00D822DA"/>
    <w:rsid w:val="00D845CD"/>
    <w:rsid w:val="00D84E59"/>
    <w:rsid w:val="00D850F2"/>
    <w:rsid w:val="00D90280"/>
    <w:rsid w:val="00D9305D"/>
    <w:rsid w:val="00DA0850"/>
    <w:rsid w:val="00DA37C6"/>
    <w:rsid w:val="00DA3C1B"/>
    <w:rsid w:val="00DA6B13"/>
    <w:rsid w:val="00DA773C"/>
    <w:rsid w:val="00DA7E8D"/>
    <w:rsid w:val="00DB0C88"/>
    <w:rsid w:val="00DB12EE"/>
    <w:rsid w:val="00DB3D91"/>
    <w:rsid w:val="00DB40EB"/>
    <w:rsid w:val="00DB7AA4"/>
    <w:rsid w:val="00DC762F"/>
    <w:rsid w:val="00DD1328"/>
    <w:rsid w:val="00DD1918"/>
    <w:rsid w:val="00DD7CFF"/>
    <w:rsid w:val="00DE0013"/>
    <w:rsid w:val="00DE1866"/>
    <w:rsid w:val="00DE2AC8"/>
    <w:rsid w:val="00DE5C57"/>
    <w:rsid w:val="00DE622A"/>
    <w:rsid w:val="00DF178C"/>
    <w:rsid w:val="00DF226E"/>
    <w:rsid w:val="00DF5A25"/>
    <w:rsid w:val="00DF76A3"/>
    <w:rsid w:val="00DF7CD7"/>
    <w:rsid w:val="00E03283"/>
    <w:rsid w:val="00E0567D"/>
    <w:rsid w:val="00E05922"/>
    <w:rsid w:val="00E07890"/>
    <w:rsid w:val="00E16460"/>
    <w:rsid w:val="00E21E0E"/>
    <w:rsid w:val="00E3114C"/>
    <w:rsid w:val="00E31630"/>
    <w:rsid w:val="00E31B0A"/>
    <w:rsid w:val="00E358C9"/>
    <w:rsid w:val="00E35E72"/>
    <w:rsid w:val="00E408FF"/>
    <w:rsid w:val="00E427DB"/>
    <w:rsid w:val="00E46EBD"/>
    <w:rsid w:val="00E47F72"/>
    <w:rsid w:val="00E50FC7"/>
    <w:rsid w:val="00E51B83"/>
    <w:rsid w:val="00E51F9A"/>
    <w:rsid w:val="00E5258B"/>
    <w:rsid w:val="00E535A5"/>
    <w:rsid w:val="00E54D25"/>
    <w:rsid w:val="00E55DC6"/>
    <w:rsid w:val="00E57AC1"/>
    <w:rsid w:val="00E60704"/>
    <w:rsid w:val="00E62A83"/>
    <w:rsid w:val="00E637D3"/>
    <w:rsid w:val="00E63AF9"/>
    <w:rsid w:val="00E70D09"/>
    <w:rsid w:val="00E71774"/>
    <w:rsid w:val="00E71D47"/>
    <w:rsid w:val="00E7288B"/>
    <w:rsid w:val="00E72E3D"/>
    <w:rsid w:val="00E802E4"/>
    <w:rsid w:val="00E829AF"/>
    <w:rsid w:val="00E8441F"/>
    <w:rsid w:val="00E850AE"/>
    <w:rsid w:val="00E876CB"/>
    <w:rsid w:val="00E9040B"/>
    <w:rsid w:val="00E90EF4"/>
    <w:rsid w:val="00EA513A"/>
    <w:rsid w:val="00EB0881"/>
    <w:rsid w:val="00EB0D99"/>
    <w:rsid w:val="00EB2CA7"/>
    <w:rsid w:val="00EB4C88"/>
    <w:rsid w:val="00EC580F"/>
    <w:rsid w:val="00EC7951"/>
    <w:rsid w:val="00ED631C"/>
    <w:rsid w:val="00ED7586"/>
    <w:rsid w:val="00EE12AC"/>
    <w:rsid w:val="00EE24EA"/>
    <w:rsid w:val="00EE4477"/>
    <w:rsid w:val="00EE5412"/>
    <w:rsid w:val="00EE7968"/>
    <w:rsid w:val="00EE7B08"/>
    <w:rsid w:val="00EF52AD"/>
    <w:rsid w:val="00F04649"/>
    <w:rsid w:val="00F075F0"/>
    <w:rsid w:val="00F07631"/>
    <w:rsid w:val="00F1044C"/>
    <w:rsid w:val="00F13EE6"/>
    <w:rsid w:val="00F1456B"/>
    <w:rsid w:val="00F164AF"/>
    <w:rsid w:val="00F16B13"/>
    <w:rsid w:val="00F304EB"/>
    <w:rsid w:val="00F31E84"/>
    <w:rsid w:val="00F31E89"/>
    <w:rsid w:val="00F36BB4"/>
    <w:rsid w:val="00F407BC"/>
    <w:rsid w:val="00F4177E"/>
    <w:rsid w:val="00F42DEA"/>
    <w:rsid w:val="00F43BF3"/>
    <w:rsid w:val="00F54D66"/>
    <w:rsid w:val="00F60A43"/>
    <w:rsid w:val="00F65346"/>
    <w:rsid w:val="00F65C2B"/>
    <w:rsid w:val="00F722F6"/>
    <w:rsid w:val="00F73CC1"/>
    <w:rsid w:val="00F7485F"/>
    <w:rsid w:val="00F74ED8"/>
    <w:rsid w:val="00F75868"/>
    <w:rsid w:val="00F80BC8"/>
    <w:rsid w:val="00F8533E"/>
    <w:rsid w:val="00F8762B"/>
    <w:rsid w:val="00F906D7"/>
    <w:rsid w:val="00F914E4"/>
    <w:rsid w:val="00F92A01"/>
    <w:rsid w:val="00F94FCE"/>
    <w:rsid w:val="00F96366"/>
    <w:rsid w:val="00F9767C"/>
    <w:rsid w:val="00FA683F"/>
    <w:rsid w:val="00FA68A8"/>
    <w:rsid w:val="00FB5C9D"/>
    <w:rsid w:val="00FB5D9F"/>
    <w:rsid w:val="00FB60E1"/>
    <w:rsid w:val="00FB6181"/>
    <w:rsid w:val="00FC1584"/>
    <w:rsid w:val="00FC1811"/>
    <w:rsid w:val="00FC2FEE"/>
    <w:rsid w:val="00FC4A82"/>
    <w:rsid w:val="00FC6DDF"/>
    <w:rsid w:val="00FD00A1"/>
    <w:rsid w:val="00FD0717"/>
    <w:rsid w:val="00FD07DF"/>
    <w:rsid w:val="00FD0AE9"/>
    <w:rsid w:val="00FE2B32"/>
    <w:rsid w:val="00FF2238"/>
    <w:rsid w:val="00FF2F09"/>
    <w:rsid w:val="00FF3A15"/>
    <w:rsid w:val="00FF77E9"/>
    <w:rsid w:val="01536752"/>
    <w:rsid w:val="01B27DA8"/>
    <w:rsid w:val="01E377A8"/>
    <w:rsid w:val="01FE771E"/>
    <w:rsid w:val="02593B73"/>
    <w:rsid w:val="026E1D33"/>
    <w:rsid w:val="031B6E47"/>
    <w:rsid w:val="035B764C"/>
    <w:rsid w:val="03C66745"/>
    <w:rsid w:val="054B0729"/>
    <w:rsid w:val="05675200"/>
    <w:rsid w:val="05C965EA"/>
    <w:rsid w:val="060F11AE"/>
    <w:rsid w:val="0680116C"/>
    <w:rsid w:val="078A2E7F"/>
    <w:rsid w:val="078A57DF"/>
    <w:rsid w:val="078B63CA"/>
    <w:rsid w:val="079C2464"/>
    <w:rsid w:val="07CC0700"/>
    <w:rsid w:val="08C53B43"/>
    <w:rsid w:val="08F43836"/>
    <w:rsid w:val="09D50D72"/>
    <w:rsid w:val="0B2C4DD6"/>
    <w:rsid w:val="0B2D4E26"/>
    <w:rsid w:val="0BA8368E"/>
    <w:rsid w:val="0D08002E"/>
    <w:rsid w:val="0DC5073B"/>
    <w:rsid w:val="0DE424F8"/>
    <w:rsid w:val="0E2F556D"/>
    <w:rsid w:val="0FC133B8"/>
    <w:rsid w:val="112634D5"/>
    <w:rsid w:val="113451C4"/>
    <w:rsid w:val="11761FCE"/>
    <w:rsid w:val="11B03543"/>
    <w:rsid w:val="11B359E6"/>
    <w:rsid w:val="120642B3"/>
    <w:rsid w:val="1266435C"/>
    <w:rsid w:val="1309621C"/>
    <w:rsid w:val="13492EDE"/>
    <w:rsid w:val="137518F5"/>
    <w:rsid w:val="139A2CF0"/>
    <w:rsid w:val="13FD6C01"/>
    <w:rsid w:val="145E12C7"/>
    <w:rsid w:val="15B03027"/>
    <w:rsid w:val="16795F7A"/>
    <w:rsid w:val="1783251C"/>
    <w:rsid w:val="17A5676C"/>
    <w:rsid w:val="18F255FB"/>
    <w:rsid w:val="19103601"/>
    <w:rsid w:val="19EC6262"/>
    <w:rsid w:val="1B226982"/>
    <w:rsid w:val="1B2E02E1"/>
    <w:rsid w:val="1BD82508"/>
    <w:rsid w:val="1BD94100"/>
    <w:rsid w:val="1CBD0F8B"/>
    <w:rsid w:val="1DC51081"/>
    <w:rsid w:val="1E2961BA"/>
    <w:rsid w:val="1E3D73D8"/>
    <w:rsid w:val="1F3926BD"/>
    <w:rsid w:val="232D320C"/>
    <w:rsid w:val="234C0820"/>
    <w:rsid w:val="23C36AB3"/>
    <w:rsid w:val="242346AC"/>
    <w:rsid w:val="244A71DE"/>
    <w:rsid w:val="24AD4A0B"/>
    <w:rsid w:val="24BC57F1"/>
    <w:rsid w:val="25374227"/>
    <w:rsid w:val="25435164"/>
    <w:rsid w:val="25886815"/>
    <w:rsid w:val="259E47DC"/>
    <w:rsid w:val="25A319DE"/>
    <w:rsid w:val="25FA5A82"/>
    <w:rsid w:val="26E316C0"/>
    <w:rsid w:val="278538B8"/>
    <w:rsid w:val="27871CFB"/>
    <w:rsid w:val="27977EE1"/>
    <w:rsid w:val="28B46A2C"/>
    <w:rsid w:val="28F110F5"/>
    <w:rsid w:val="295B3C5C"/>
    <w:rsid w:val="29AD5470"/>
    <w:rsid w:val="29D74004"/>
    <w:rsid w:val="2A006C6C"/>
    <w:rsid w:val="2A0A212D"/>
    <w:rsid w:val="2A704C99"/>
    <w:rsid w:val="2AF16549"/>
    <w:rsid w:val="2BCB6DF5"/>
    <w:rsid w:val="2C605CDD"/>
    <w:rsid w:val="2CB85D8C"/>
    <w:rsid w:val="2CB95149"/>
    <w:rsid w:val="2CF3041D"/>
    <w:rsid w:val="2CFF0891"/>
    <w:rsid w:val="2D470E5C"/>
    <w:rsid w:val="2DDB5D83"/>
    <w:rsid w:val="2DF74550"/>
    <w:rsid w:val="2E0F377C"/>
    <w:rsid w:val="2E225803"/>
    <w:rsid w:val="2E583E09"/>
    <w:rsid w:val="2E7031B5"/>
    <w:rsid w:val="2EB43947"/>
    <w:rsid w:val="2EED6D69"/>
    <w:rsid w:val="2EF35098"/>
    <w:rsid w:val="307D1C6C"/>
    <w:rsid w:val="308F6F3B"/>
    <w:rsid w:val="320D4539"/>
    <w:rsid w:val="32D6145C"/>
    <w:rsid w:val="33033A37"/>
    <w:rsid w:val="342950BB"/>
    <w:rsid w:val="344B657F"/>
    <w:rsid w:val="34DB0A4E"/>
    <w:rsid w:val="353304FD"/>
    <w:rsid w:val="35C57BCD"/>
    <w:rsid w:val="3612086E"/>
    <w:rsid w:val="363665AC"/>
    <w:rsid w:val="36A42E7A"/>
    <w:rsid w:val="3A100776"/>
    <w:rsid w:val="3A934798"/>
    <w:rsid w:val="3ACB2D14"/>
    <w:rsid w:val="3C5B613D"/>
    <w:rsid w:val="3CCF5F4A"/>
    <w:rsid w:val="3EDF3DB0"/>
    <w:rsid w:val="3FFD222D"/>
    <w:rsid w:val="411F4B74"/>
    <w:rsid w:val="417B5894"/>
    <w:rsid w:val="41D959DF"/>
    <w:rsid w:val="4217535E"/>
    <w:rsid w:val="42734656"/>
    <w:rsid w:val="42A81795"/>
    <w:rsid w:val="439F2C26"/>
    <w:rsid w:val="43C952AA"/>
    <w:rsid w:val="44F858CF"/>
    <w:rsid w:val="453C3F5C"/>
    <w:rsid w:val="45B8619C"/>
    <w:rsid w:val="465C12F5"/>
    <w:rsid w:val="474562E9"/>
    <w:rsid w:val="485F60E2"/>
    <w:rsid w:val="497A4817"/>
    <w:rsid w:val="49847BA0"/>
    <w:rsid w:val="49A30065"/>
    <w:rsid w:val="4B93554C"/>
    <w:rsid w:val="4C054B18"/>
    <w:rsid w:val="4C147801"/>
    <w:rsid w:val="4C2375E8"/>
    <w:rsid w:val="4E3651B8"/>
    <w:rsid w:val="4EA25AF1"/>
    <w:rsid w:val="4EC20D58"/>
    <w:rsid w:val="4F3205ED"/>
    <w:rsid w:val="4F70395C"/>
    <w:rsid w:val="50141FCE"/>
    <w:rsid w:val="50925C18"/>
    <w:rsid w:val="52600C3A"/>
    <w:rsid w:val="526E1BC0"/>
    <w:rsid w:val="52B46CE6"/>
    <w:rsid w:val="530204B1"/>
    <w:rsid w:val="537449CF"/>
    <w:rsid w:val="53CD768E"/>
    <w:rsid w:val="53F62466"/>
    <w:rsid w:val="555BE0A0"/>
    <w:rsid w:val="556E4308"/>
    <w:rsid w:val="57DC17C6"/>
    <w:rsid w:val="57FE3DD6"/>
    <w:rsid w:val="58301A5F"/>
    <w:rsid w:val="59023307"/>
    <w:rsid w:val="598453F0"/>
    <w:rsid w:val="59F971F7"/>
    <w:rsid w:val="5A1EFF32"/>
    <w:rsid w:val="5A3F54C1"/>
    <w:rsid w:val="5A557411"/>
    <w:rsid w:val="5BA40A06"/>
    <w:rsid w:val="5BBF5FA6"/>
    <w:rsid w:val="5BDC2D4F"/>
    <w:rsid w:val="5C835B83"/>
    <w:rsid w:val="5C912E8C"/>
    <w:rsid w:val="5DA23631"/>
    <w:rsid w:val="5DCFFED8"/>
    <w:rsid w:val="5E083D07"/>
    <w:rsid w:val="5E1D5D06"/>
    <w:rsid w:val="5E8F2C6F"/>
    <w:rsid w:val="5EE4242C"/>
    <w:rsid w:val="5FD9CE6C"/>
    <w:rsid w:val="5FFA76CC"/>
    <w:rsid w:val="6051307D"/>
    <w:rsid w:val="6084586B"/>
    <w:rsid w:val="60A1171B"/>
    <w:rsid w:val="60D74143"/>
    <w:rsid w:val="61921EF7"/>
    <w:rsid w:val="61F66B55"/>
    <w:rsid w:val="62334857"/>
    <w:rsid w:val="6325D2D6"/>
    <w:rsid w:val="64844820"/>
    <w:rsid w:val="6577246A"/>
    <w:rsid w:val="658D687E"/>
    <w:rsid w:val="65F80BB8"/>
    <w:rsid w:val="67EFECD4"/>
    <w:rsid w:val="69933260"/>
    <w:rsid w:val="6A513468"/>
    <w:rsid w:val="6B3971BE"/>
    <w:rsid w:val="6BA60517"/>
    <w:rsid w:val="6CEF6422"/>
    <w:rsid w:val="6D303681"/>
    <w:rsid w:val="6DFFB203"/>
    <w:rsid w:val="6E3E4C0D"/>
    <w:rsid w:val="6EAC6677"/>
    <w:rsid w:val="6FA64AA2"/>
    <w:rsid w:val="6FFB27C6"/>
    <w:rsid w:val="703333AA"/>
    <w:rsid w:val="71A049A2"/>
    <w:rsid w:val="71A7AD49"/>
    <w:rsid w:val="71CF0352"/>
    <w:rsid w:val="72BFA4A2"/>
    <w:rsid w:val="72C97C75"/>
    <w:rsid w:val="730B45F5"/>
    <w:rsid w:val="733FCD3C"/>
    <w:rsid w:val="736F44C3"/>
    <w:rsid w:val="736F6E8F"/>
    <w:rsid w:val="73B93ABD"/>
    <w:rsid w:val="74C27E8F"/>
    <w:rsid w:val="76DE102F"/>
    <w:rsid w:val="774E1EB9"/>
    <w:rsid w:val="775EC3EA"/>
    <w:rsid w:val="778613BA"/>
    <w:rsid w:val="77BE206C"/>
    <w:rsid w:val="77F97902"/>
    <w:rsid w:val="787A2883"/>
    <w:rsid w:val="789A6FEC"/>
    <w:rsid w:val="78D82251"/>
    <w:rsid w:val="79D87A55"/>
    <w:rsid w:val="7A8E1F84"/>
    <w:rsid w:val="7AA93C53"/>
    <w:rsid w:val="7AC32EBD"/>
    <w:rsid w:val="7B551198"/>
    <w:rsid w:val="7B5D6C59"/>
    <w:rsid w:val="7B886F67"/>
    <w:rsid w:val="7B94578C"/>
    <w:rsid w:val="7BDD96C0"/>
    <w:rsid w:val="7C514361"/>
    <w:rsid w:val="7CC32BCE"/>
    <w:rsid w:val="7D883FA3"/>
    <w:rsid w:val="7E19394F"/>
    <w:rsid w:val="7E4D202F"/>
    <w:rsid w:val="7EB003B2"/>
    <w:rsid w:val="7EB38D28"/>
    <w:rsid w:val="7ED96220"/>
    <w:rsid w:val="7EED68D6"/>
    <w:rsid w:val="7F7BDAA3"/>
    <w:rsid w:val="7FDF1D62"/>
    <w:rsid w:val="7FE74135"/>
    <w:rsid w:val="99FF85F5"/>
    <w:rsid w:val="9DF3BB21"/>
    <w:rsid w:val="9FF73653"/>
    <w:rsid w:val="9FFF1EAF"/>
    <w:rsid w:val="AED55F15"/>
    <w:rsid w:val="B63F32AC"/>
    <w:rsid w:val="BDB7DB93"/>
    <w:rsid w:val="BDF70382"/>
    <w:rsid w:val="CEEFC961"/>
    <w:rsid w:val="DF5CCF53"/>
    <w:rsid w:val="EFDFFCC2"/>
    <w:rsid w:val="F56DF785"/>
    <w:rsid w:val="F656F89C"/>
    <w:rsid w:val="F6BF1ED4"/>
    <w:rsid w:val="FBE7B560"/>
    <w:rsid w:val="FCBFC338"/>
    <w:rsid w:val="FDD90D27"/>
    <w:rsid w:val="FFBB7848"/>
    <w:rsid w:val="FFEFE798"/>
    <w:rsid w:val="FFF32B86"/>
    <w:rsid w:val="FFF6F11F"/>
    <w:rsid w:val="FFFF1B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26"/>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7">
    <w:name w:val="heading 3"/>
    <w:basedOn w:val="1"/>
    <w:next w:val="1"/>
    <w:link w:val="33"/>
    <w:semiHidden/>
    <w:unhideWhenUsed/>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46"/>
    <w:qFormat/>
    <w:uiPriority w:val="0"/>
    <w:pPr>
      <w:ind w:firstLine="420" w:firstLineChars="100"/>
    </w:pPr>
  </w:style>
  <w:style w:type="paragraph" w:styleId="3">
    <w:name w:val="Body Text"/>
    <w:basedOn w:val="1"/>
    <w:next w:val="2"/>
    <w:link w:val="30"/>
    <w:qFormat/>
    <w:uiPriority w:val="0"/>
    <w:pPr>
      <w:spacing w:after="120"/>
    </w:pPr>
  </w:style>
  <w:style w:type="paragraph" w:styleId="4">
    <w:name w:val="Plain Text"/>
    <w:basedOn w:val="1"/>
    <w:qFormat/>
    <w:uiPriority w:val="0"/>
    <w:rPr>
      <w:rFonts w:ascii="宋体" w:hAnsi="Courier New" w:cs="Courier New"/>
      <w:szCs w:val="21"/>
    </w:rPr>
  </w:style>
  <w:style w:type="paragraph" w:styleId="8">
    <w:name w:val="Normal Indent"/>
    <w:basedOn w:val="1"/>
    <w:unhideWhenUsed/>
    <w:qFormat/>
    <w:uiPriority w:val="99"/>
    <w:pPr>
      <w:ind w:firstLine="420"/>
    </w:pPr>
  </w:style>
  <w:style w:type="paragraph" w:styleId="9">
    <w:name w:val="toa heading"/>
    <w:basedOn w:val="1"/>
    <w:next w:val="1"/>
    <w:unhideWhenUsed/>
    <w:qFormat/>
    <w:uiPriority w:val="0"/>
    <w:pPr>
      <w:spacing w:before="120"/>
    </w:pPr>
    <w:rPr>
      <w:rFonts w:asciiTheme="majorHAnsi" w:hAnsiTheme="majorHAnsi" w:cstheme="majorBidi"/>
      <w:sz w:val="24"/>
    </w:rPr>
  </w:style>
  <w:style w:type="paragraph" w:styleId="10">
    <w:name w:val="annotation text"/>
    <w:basedOn w:val="1"/>
    <w:link w:val="36"/>
    <w:qFormat/>
    <w:uiPriority w:val="0"/>
    <w:pPr>
      <w:jc w:val="left"/>
    </w:pPr>
    <w:rPr>
      <w:rFonts w:asciiTheme="minorHAnsi" w:hAnsiTheme="minorHAnsi" w:eastAsiaTheme="minorEastAsia" w:cstheme="minorBidi"/>
    </w:rPr>
  </w:style>
  <w:style w:type="paragraph" w:styleId="11">
    <w:name w:val="Body Text Indent"/>
    <w:basedOn w:val="1"/>
    <w:link w:val="37"/>
    <w:qFormat/>
    <w:uiPriority w:val="0"/>
    <w:pPr>
      <w:spacing w:after="120"/>
      <w:ind w:left="420" w:leftChars="200"/>
    </w:pPr>
  </w:style>
  <w:style w:type="paragraph" w:styleId="12">
    <w:name w:val="Balloon Text"/>
    <w:basedOn w:val="1"/>
    <w:link w:val="27"/>
    <w:qFormat/>
    <w:uiPriority w:val="0"/>
    <w:rPr>
      <w:sz w:val="18"/>
      <w:szCs w:val="18"/>
    </w:rPr>
  </w:style>
  <w:style w:type="paragraph" w:styleId="13">
    <w:name w:val="footer"/>
    <w:basedOn w:val="1"/>
    <w:link w:val="28"/>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0"/>
    <w:pPr>
      <w:spacing w:line="579" w:lineRule="exact"/>
      <w:ind w:firstLine="880" w:firstLineChars="200"/>
    </w:pPr>
    <w:rPr>
      <w:rFonts w:cs="宋体" w:asciiTheme="minorHAnsi" w:hAnsiTheme="minorHAnsi" w:eastAsiaTheme="minorEastAsia"/>
      <w:szCs w:val="21"/>
    </w:rPr>
  </w:style>
  <w:style w:type="paragraph" w:styleId="16">
    <w:name w:val="table of figures"/>
    <w:basedOn w:val="1"/>
    <w:next w:val="1"/>
    <w:unhideWhenUsed/>
    <w:qFormat/>
    <w:uiPriority w:val="99"/>
    <w:pPr>
      <w:ind w:left="200" w:leftChars="200" w:hanging="200" w:hangingChars="200"/>
    </w:pPr>
    <w:rPr>
      <w:rFonts w:cs="宋体"/>
      <w:szCs w:val="22"/>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8">
    <w:name w:val="Title"/>
    <w:basedOn w:val="1"/>
    <w:next w:val="1"/>
    <w:link w:val="48"/>
    <w:qFormat/>
    <w:uiPriority w:val="99"/>
    <w:pPr>
      <w:widowControl/>
      <w:spacing w:line="360" w:lineRule="auto"/>
      <w:ind w:firstLine="560" w:firstLineChars="200"/>
      <w:jc w:val="center"/>
    </w:pPr>
    <w:rPr>
      <w:rFonts w:ascii="黑体" w:hAnsi="黑体" w:eastAsia="黑体" w:cs="黑体"/>
      <w:b/>
      <w:bCs/>
      <w:color w:val="000000"/>
      <w:kern w:val="0"/>
      <w:sz w:val="32"/>
      <w:szCs w:val="36"/>
    </w:rPr>
  </w:style>
  <w:style w:type="paragraph" w:styleId="19">
    <w:name w:val="Body Text First Indent 2"/>
    <w:basedOn w:val="11"/>
    <w:link w:val="38"/>
    <w:qFormat/>
    <w:uiPriority w:val="0"/>
    <w:pPr>
      <w:ind w:firstLine="420" w:firstLineChars="200"/>
    </w:pPr>
    <w:rPr>
      <w:rFonts w:hint="eastAsia" w:ascii="等线" w:hAnsi="等线" w:eastAsia="等线"/>
      <w:szCs w:val="21"/>
    </w:rPr>
  </w:style>
  <w:style w:type="character" w:styleId="22">
    <w:name w:val="Strong"/>
    <w:qFormat/>
    <w:uiPriority w:val="22"/>
    <w:rPr>
      <w:b/>
      <w:bCs/>
    </w:rPr>
  </w:style>
  <w:style w:type="character" w:styleId="23">
    <w:name w:val="page number"/>
    <w:basedOn w:val="21"/>
    <w:qFormat/>
    <w:uiPriority w:val="0"/>
  </w:style>
  <w:style w:type="character" w:styleId="24">
    <w:name w:val="Hyperlink"/>
    <w:basedOn w:val="21"/>
    <w:qFormat/>
    <w:uiPriority w:val="0"/>
    <w:rPr>
      <w:color w:val="0000FF" w:themeColor="hyperlink"/>
      <w:u w:val="single"/>
      <w14:textFill>
        <w14:solidFill>
          <w14:schemeClr w14:val="hlink"/>
        </w14:solidFill>
      </w14:textFill>
    </w:rPr>
  </w:style>
  <w:style w:type="character" w:styleId="25">
    <w:name w:val="annotation reference"/>
    <w:basedOn w:val="21"/>
    <w:qFormat/>
    <w:uiPriority w:val="99"/>
    <w:rPr>
      <w:sz w:val="21"/>
      <w:szCs w:val="21"/>
    </w:rPr>
  </w:style>
  <w:style w:type="character" w:customStyle="1" w:styleId="26">
    <w:name w:val="标题 2 字符"/>
    <w:link w:val="6"/>
    <w:qFormat/>
    <w:uiPriority w:val="9"/>
    <w:rPr>
      <w:rFonts w:ascii="宋体" w:hAnsi="宋体" w:cs="宋体"/>
      <w:b/>
      <w:bCs/>
      <w:sz w:val="36"/>
      <w:szCs w:val="36"/>
    </w:rPr>
  </w:style>
  <w:style w:type="character" w:customStyle="1" w:styleId="27">
    <w:name w:val="批注框文本 字符"/>
    <w:link w:val="12"/>
    <w:qFormat/>
    <w:uiPriority w:val="0"/>
    <w:rPr>
      <w:kern w:val="2"/>
      <w:sz w:val="18"/>
      <w:szCs w:val="18"/>
    </w:rPr>
  </w:style>
  <w:style w:type="character" w:customStyle="1" w:styleId="28">
    <w:name w:val="页脚 字符"/>
    <w:link w:val="13"/>
    <w:qFormat/>
    <w:uiPriority w:val="99"/>
    <w:rPr>
      <w:kern w:val="2"/>
      <w:sz w:val="18"/>
      <w:szCs w:val="18"/>
    </w:rPr>
  </w:style>
  <w:style w:type="character" w:customStyle="1" w:styleId="29">
    <w:name w:val="标题 1 字符"/>
    <w:link w:val="5"/>
    <w:qFormat/>
    <w:uiPriority w:val="9"/>
    <w:rPr>
      <w:b/>
      <w:bCs/>
      <w:kern w:val="44"/>
      <w:sz w:val="44"/>
      <w:szCs w:val="44"/>
    </w:rPr>
  </w:style>
  <w:style w:type="character" w:customStyle="1" w:styleId="30">
    <w:name w:val="正文文本 字符"/>
    <w:link w:val="3"/>
    <w:qFormat/>
    <w:uiPriority w:val="0"/>
    <w:rPr>
      <w:kern w:val="2"/>
      <w:sz w:val="21"/>
      <w:szCs w:val="24"/>
    </w:rPr>
  </w:style>
  <w:style w:type="paragraph" w:customStyle="1" w:styleId="31">
    <w:name w:val="p0"/>
    <w:basedOn w:val="1"/>
    <w:qFormat/>
    <w:uiPriority w:val="0"/>
    <w:pPr>
      <w:widowControl/>
      <w:jc w:val="left"/>
    </w:pPr>
    <w:rPr>
      <w:rFonts w:ascii="宋体" w:hAnsi="宋体" w:cs="宋体"/>
      <w:kern w:val="0"/>
      <w:sz w:val="24"/>
    </w:rPr>
  </w:style>
  <w:style w:type="paragraph" w:styleId="32">
    <w:name w:val="List Paragraph"/>
    <w:basedOn w:val="1"/>
    <w:qFormat/>
    <w:uiPriority w:val="99"/>
    <w:pPr>
      <w:ind w:firstLine="420" w:firstLineChars="200"/>
    </w:pPr>
    <w:rPr>
      <w:rFonts w:ascii="Times New Roman" w:hAnsi="Times New Roman"/>
    </w:rPr>
  </w:style>
  <w:style w:type="character" w:customStyle="1" w:styleId="33">
    <w:name w:val="标题 3 字符"/>
    <w:basedOn w:val="21"/>
    <w:link w:val="7"/>
    <w:semiHidden/>
    <w:qFormat/>
    <w:uiPriority w:val="0"/>
    <w:rPr>
      <w:b/>
      <w:bCs/>
      <w:kern w:val="2"/>
      <w:sz w:val="32"/>
      <w:szCs w:val="32"/>
    </w:rPr>
  </w:style>
  <w:style w:type="paragraph" w:customStyle="1" w:styleId="34">
    <w:name w:val="文本"/>
    <w:basedOn w:val="1"/>
    <w:qFormat/>
    <w:uiPriority w:val="0"/>
    <w:pPr>
      <w:spacing w:line="360" w:lineRule="auto"/>
      <w:ind w:firstLine="480" w:firstLineChars="200"/>
    </w:pPr>
    <w:rPr>
      <w:rFonts w:ascii="Times New Roman" w:hAnsi="Times New Roman" w:cs="宋体"/>
      <w:sz w:val="24"/>
      <w:szCs w:val="20"/>
    </w:rPr>
  </w:style>
  <w:style w:type="paragraph" w:customStyle="1" w:styleId="35">
    <w:name w:val="my正文"/>
    <w:basedOn w:val="1"/>
    <w:qFormat/>
    <w:uiPriority w:val="0"/>
    <w:pPr>
      <w:spacing w:line="360" w:lineRule="auto"/>
      <w:ind w:firstLine="480" w:firstLineChars="200"/>
    </w:pPr>
    <w:rPr>
      <w:rFonts w:ascii="Tahoma" w:hAnsi="Tahoma"/>
      <w:kern w:val="0"/>
      <w:sz w:val="24"/>
    </w:rPr>
  </w:style>
  <w:style w:type="character" w:customStyle="1" w:styleId="36">
    <w:name w:val="批注文字 字符"/>
    <w:basedOn w:val="21"/>
    <w:link w:val="10"/>
    <w:qFormat/>
    <w:uiPriority w:val="0"/>
    <w:rPr>
      <w:rFonts w:asciiTheme="minorHAnsi" w:hAnsiTheme="minorHAnsi" w:eastAsiaTheme="minorEastAsia" w:cstheme="minorBidi"/>
      <w:kern w:val="2"/>
      <w:sz w:val="21"/>
      <w:szCs w:val="24"/>
    </w:rPr>
  </w:style>
  <w:style w:type="character" w:customStyle="1" w:styleId="37">
    <w:name w:val="正文文本缩进 字符"/>
    <w:basedOn w:val="21"/>
    <w:link w:val="11"/>
    <w:qFormat/>
    <w:uiPriority w:val="0"/>
    <w:rPr>
      <w:kern w:val="2"/>
      <w:sz w:val="21"/>
      <w:szCs w:val="24"/>
    </w:rPr>
  </w:style>
  <w:style w:type="character" w:customStyle="1" w:styleId="38">
    <w:name w:val="正文首行缩进 2 字符"/>
    <w:basedOn w:val="37"/>
    <w:link w:val="19"/>
    <w:qFormat/>
    <w:uiPriority w:val="0"/>
    <w:rPr>
      <w:kern w:val="2"/>
      <w:sz w:val="21"/>
      <w:szCs w:val="24"/>
    </w:rPr>
  </w:style>
  <w:style w:type="paragraph" w:customStyle="1" w:styleId="39">
    <w:name w:val="Char"/>
    <w:basedOn w:val="1"/>
    <w:qFormat/>
    <w:uiPriority w:val="0"/>
    <w:pPr>
      <w:adjustRightInd w:val="0"/>
      <w:snapToGrid w:val="0"/>
      <w:spacing w:beforeLines="150" w:afterLines="100" w:line="360" w:lineRule="auto"/>
      <w:ind w:firstLine="192" w:firstLineChars="192"/>
    </w:pPr>
    <w:rPr>
      <w:rFonts w:asciiTheme="minorHAnsi" w:hAnsiTheme="minorHAnsi" w:eastAsiaTheme="minorEastAsia" w:cstheme="minorBidi"/>
      <w:szCs w:val="20"/>
    </w:rPr>
  </w:style>
  <w:style w:type="paragraph" w:customStyle="1" w:styleId="40">
    <w:name w:val="正文文本缩进1"/>
    <w:basedOn w:val="1"/>
    <w:qFormat/>
    <w:uiPriority w:val="0"/>
    <w:pPr>
      <w:spacing w:after="120"/>
      <w:ind w:left="200" w:leftChars="200"/>
    </w:pPr>
  </w:style>
  <w:style w:type="paragraph" w:customStyle="1" w:styleId="41">
    <w:name w:val="Normal Indent1"/>
    <w:basedOn w:val="1"/>
    <w:unhideWhenUsed/>
    <w:qFormat/>
    <w:uiPriority w:val="0"/>
    <w:pPr>
      <w:ind w:firstLine="420" w:firstLineChars="200"/>
    </w:pPr>
    <w:rPr>
      <w:sz w:val="32"/>
      <w:szCs w:val="22"/>
    </w:rPr>
  </w:style>
  <w:style w:type="character" w:customStyle="1" w:styleId="42">
    <w:name w:val="NormalCharacter"/>
    <w:semiHidden/>
    <w:qFormat/>
    <w:uiPriority w:val="0"/>
  </w:style>
  <w:style w:type="paragraph" w:customStyle="1" w:styleId="43">
    <w:name w:val="正文ok"/>
    <w:qFormat/>
    <w:uiPriority w:val="0"/>
    <w:pPr>
      <w:spacing w:line="360" w:lineRule="auto"/>
      <w:ind w:firstLine="200" w:firstLineChars="200"/>
    </w:pPr>
    <w:rPr>
      <w:rFonts w:ascii="宋体" w:hAnsi="Times New Roman" w:eastAsia="宋体" w:cs="宋体"/>
      <w:sz w:val="24"/>
      <w:szCs w:val="24"/>
      <w:lang w:val="en-US" w:eastAsia="zh-CN" w:bidi="ar-SA"/>
    </w:rPr>
  </w:style>
  <w:style w:type="paragraph" w:customStyle="1" w:styleId="44">
    <w:name w:val="正文缩进1"/>
    <w:basedOn w:val="1"/>
    <w:qFormat/>
    <w:uiPriority w:val="0"/>
    <w:pPr>
      <w:ind w:firstLine="420" w:firstLineChars="200"/>
    </w:pPr>
    <w:rPr>
      <w:rFonts w:asciiTheme="minorHAnsi" w:hAnsiTheme="minorHAnsi" w:eastAsiaTheme="minorEastAsia" w:cstheme="minorBidi"/>
    </w:rPr>
  </w:style>
  <w:style w:type="paragraph" w:customStyle="1" w:styleId="45">
    <w:name w:val="MsoNormal"/>
    <w:basedOn w:val="1"/>
    <w:qFormat/>
    <w:uiPriority w:val="0"/>
    <w:pPr>
      <w:widowControl/>
      <w:jc w:val="left"/>
    </w:pPr>
    <w:rPr>
      <w:rFonts w:ascii="Times New Roman" w:hAnsi="Times New Roman" w:eastAsiaTheme="minorEastAsia"/>
      <w:kern w:val="0"/>
      <w:sz w:val="24"/>
    </w:rPr>
  </w:style>
  <w:style w:type="character" w:customStyle="1" w:styleId="46">
    <w:name w:val="正文首行缩进 字符"/>
    <w:basedOn w:val="30"/>
    <w:link w:val="2"/>
    <w:qFormat/>
    <w:uiPriority w:val="0"/>
    <w:rPr>
      <w:kern w:val="2"/>
      <w:sz w:val="21"/>
      <w:szCs w:val="24"/>
    </w:rPr>
  </w:style>
  <w:style w:type="paragraph" w:customStyle="1" w:styleId="47">
    <w:name w:val="Default"/>
    <w:basedOn w:val="1"/>
    <w:qFormat/>
    <w:uiPriority w:val="0"/>
    <w:pPr>
      <w:autoSpaceDE w:val="0"/>
      <w:autoSpaceDN w:val="0"/>
      <w:adjustRightInd w:val="0"/>
      <w:jc w:val="left"/>
    </w:pPr>
    <w:rPr>
      <w:rFonts w:ascii="宋体_x0003_...销." w:hAnsi="宋体_x0003_...销." w:cs="宋体" w:eastAsiaTheme="minorEastAsia"/>
      <w:color w:val="000000"/>
      <w:kern w:val="0"/>
      <w:sz w:val="24"/>
    </w:rPr>
  </w:style>
  <w:style w:type="character" w:customStyle="1" w:styleId="48">
    <w:name w:val="标题 字符"/>
    <w:basedOn w:val="21"/>
    <w:link w:val="18"/>
    <w:qFormat/>
    <w:uiPriority w:val="10"/>
    <w:rPr>
      <w:rFonts w:ascii="黑体" w:hAnsi="黑体" w:eastAsia="黑体" w:cs="黑体"/>
      <w:b/>
      <w:bCs/>
      <w:color w:val="000000"/>
      <w:sz w:val="32"/>
      <w:szCs w:val="36"/>
    </w:rPr>
  </w:style>
  <w:style w:type="paragraph" w:customStyle="1" w:styleId="49">
    <w:name w:val="无间隔1"/>
    <w:basedOn w:val="1"/>
    <w:qFormat/>
    <w:uiPriority w:val="0"/>
    <w:rPr>
      <w:rFonts w:ascii="Times New Roman" w:hAnsi="Times New Roman"/>
      <w:szCs w:val="32"/>
    </w:rPr>
  </w:style>
  <w:style w:type="paragraph" w:customStyle="1" w:styleId="50">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普通(网站)1"/>
    <w:basedOn w:val="1"/>
    <w:qFormat/>
    <w:uiPriority w:val="0"/>
    <w:pPr>
      <w:spacing w:beforeAutospacing="1" w:afterAutospacing="1"/>
      <w:jc w:val="left"/>
    </w:pPr>
    <w:rPr>
      <w:rFonts w:cs="黑体"/>
      <w:kern w:val="0"/>
      <w:sz w:val="24"/>
    </w:rPr>
  </w:style>
  <w:style w:type="paragraph" w:customStyle="1" w:styleId="52">
    <w:name w:val="正文+缩进"/>
    <w:basedOn w:val="1"/>
    <w:link w:val="53"/>
    <w:qFormat/>
    <w:uiPriority w:val="0"/>
    <w:pPr>
      <w:snapToGrid w:val="0"/>
      <w:spacing w:after="260" w:line="540" w:lineRule="exact"/>
      <w:ind w:firstLine="200" w:firstLineChars="200"/>
      <w:contextualSpacing/>
    </w:pPr>
    <w:rPr>
      <w:rFonts w:ascii="Times New Roman" w:hAnsi="Times New Roman"/>
      <w:kern w:val="0"/>
      <w:sz w:val="26"/>
      <w:szCs w:val="21"/>
      <w:lang w:val="en-GB"/>
    </w:rPr>
  </w:style>
  <w:style w:type="character" w:customStyle="1" w:styleId="53">
    <w:name w:val="正文+缩进 Char"/>
    <w:link w:val="52"/>
    <w:qFormat/>
    <w:uiPriority w:val="0"/>
    <w:rPr>
      <w:sz w:val="26"/>
      <w:szCs w:val="21"/>
      <w:lang w:val="en-GB"/>
    </w:rPr>
  </w:style>
  <w:style w:type="paragraph" w:customStyle="1" w:styleId="54">
    <w:name w:val="图表"/>
    <w:basedOn w:val="1"/>
    <w:link w:val="55"/>
    <w:qFormat/>
    <w:uiPriority w:val="0"/>
    <w:pPr>
      <w:spacing w:beforeLines="20" w:afterLines="20"/>
      <w:jc w:val="center"/>
    </w:pPr>
    <w:rPr>
      <w:rFonts w:ascii="Times New Roman" w:hAnsi="Times New Roman"/>
    </w:rPr>
  </w:style>
  <w:style w:type="character" w:customStyle="1" w:styleId="55">
    <w:name w:val="图表 Char"/>
    <w:link w:val="54"/>
    <w:qFormat/>
    <w:uiPriority w:val="0"/>
    <w:rPr>
      <w:kern w:val="2"/>
      <w:sz w:val="21"/>
      <w:szCs w:val="24"/>
    </w:rPr>
  </w:style>
  <w:style w:type="paragraph" w:customStyle="1" w:styleId="56">
    <w:name w:val="样式1"/>
    <w:basedOn w:val="1"/>
    <w:qFormat/>
    <w:uiPriority w:val="0"/>
    <w:rPr>
      <w:rFonts w:ascii="黑体" w:hAnsi="黑体" w:cs="黑体" w:eastAsiaTheme="minorEastAsia"/>
    </w:rPr>
  </w:style>
  <w:style w:type="character" w:customStyle="1" w:styleId="57">
    <w:name w:val="15"/>
    <w:basedOn w:val="2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fey2\Desktop\&#27665;&#29983;&#23454;&#20107;4&#26376;30&#26085;&#25968;&#25454;\&#27700;&#21033;&#27665;&#29983;&#23454;&#20107;&#36827;&#24230;&#32479;&#35745;&#65288;&#25130;&#33267;4&#26376;25&#26085;&#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fey2\Desktop\&#27665;&#29983;&#23454;&#20107;4&#26376;30&#26085;&#25968;&#25454;\&#27700;&#21033;&#27665;&#29983;&#23454;&#20107;&#36827;&#24230;&#32479;&#35745;&#65288;&#25130;&#33267;4&#26376;25&#26085;&#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fey2\Desktop\&#27665;&#29983;&#23454;&#20107;4&#26376;30&#26085;&#25968;&#25454;\&#27700;&#21033;&#27665;&#29983;&#23454;&#20107;&#36827;&#24230;&#32479;&#35745;&#65288;&#25130;&#33267;4&#26376;25&#26085;&#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fey2\Desktop\&#27665;&#29983;&#23454;&#20107;4&#26376;30&#26085;&#25968;&#25454;\&#27700;&#21033;&#27665;&#29983;&#23454;&#20107;&#36827;&#24230;&#32479;&#35745;&#65288;&#25130;&#33267;4&#26376;25&#26085;&#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fey2\Desktop\&#27665;&#29983;&#23454;&#20107;4&#26376;30&#26085;&#25968;&#25454;\&#27700;&#21033;&#27665;&#29983;&#23454;&#20107;&#36827;&#24230;&#32479;&#35745;&#65288;&#25130;&#33267;4&#26376;25&#26085;&#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fey2\Desktop\&#27665;&#29983;&#23454;&#20107;4&#26376;30&#26085;&#25968;&#25454;\&#27700;&#21033;&#27665;&#29983;&#23454;&#20107;&#36827;&#24230;&#32479;&#35745;&#65288;&#25130;&#33267;4&#26376;25&#26085;&#652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fey2\Desktop\&#27665;&#29983;&#23454;&#20107;4&#26376;30&#26085;&#25968;&#25454;\&#27700;&#21033;&#27665;&#29983;&#23454;&#20107;&#36827;&#24230;&#32479;&#35745;&#65288;&#25130;&#33267;4&#26376;25&#26085;&#652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fey2\Desktop\&#27665;&#29983;&#23454;&#20107;4&#26376;30&#26085;&#25968;&#25454;\&#27700;&#21033;&#27665;&#29983;&#23454;&#20107;&#36827;&#24230;&#32479;&#35745;&#65288;&#25130;&#33267;4&#26376;25&#26085;&#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cap="none" spc="0" baseline="0">
                <a:ln w="0"/>
                <a:solidFill>
                  <a:schemeClr val="tx1"/>
                </a:solidFill>
                <a:effectLst>
                  <a:outerShdw blurRad="38100" dist="19050" dir="2700000" algn="tl" rotWithShape="0">
                    <a:schemeClr val="dk1">
                      <a:alpha val="40000"/>
                    </a:schemeClr>
                  </a:outerShdw>
                </a:effectLst>
                <a:latin typeface="方正小标宋简体" panose="02000000000000000000" pitchFamily="4" charset="-122"/>
                <a:ea typeface="方正小标宋简体" panose="02000000000000000000" pitchFamily="4" charset="-122"/>
                <a:cs typeface="+mn-cs"/>
              </a:defRPr>
            </a:pPr>
            <a:r>
              <a:rPr lang="zh-CN" altLang="zh-CN" sz="1400" i="0" cap="none" spc="0" baseline="0">
                <a:ln w="0"/>
                <a:solidFill>
                  <a:schemeClr val="tx1"/>
                </a:solidFill>
                <a:effectLst>
                  <a:outerShdw blurRad="38100" dist="19050" dir="2700000" algn="tl" rotWithShape="0">
                    <a:schemeClr val="dk1">
                      <a:alpha val="40000"/>
                    </a:schemeClr>
                  </a:outerShdw>
                </a:effectLst>
                <a:latin typeface="方正小标宋简体" panose="02000000000000000000" pitchFamily="4" charset="-122"/>
                <a:ea typeface="方正小标宋简体" panose="02000000000000000000" pitchFamily="4" charset="-122"/>
              </a:rPr>
              <a:t>水利民生实事分类型进度</a:t>
            </a:r>
            <a:endParaRPr lang="zh-CN" altLang="zh-CN" sz="1400" i="0" cap="none" spc="0" baseline="0">
              <a:ln w="0"/>
              <a:solidFill>
                <a:schemeClr val="tx1"/>
              </a:solidFill>
              <a:effectLst>
                <a:outerShdw blurRad="38100" dist="19050" dir="2700000" algn="tl" rotWithShape="0">
                  <a:schemeClr val="dk1">
                    <a:alpha val="40000"/>
                  </a:schemeClr>
                </a:outerShdw>
              </a:effectLst>
              <a:latin typeface="方正小标宋简体" panose="02000000000000000000" pitchFamily="4" charset="-122"/>
              <a:ea typeface="方正小标宋简体" panose="02000000000000000000" pitchFamily="4" charset="-122"/>
            </a:endParaRPr>
          </a:p>
        </c:rich>
      </c:tx>
      <c:layout>
        <c:manualLayout>
          <c:xMode val="edge"/>
          <c:yMode val="edge"/>
          <c:x val="0.328678474114441"/>
          <c:y val="0.0481062255115368"/>
        </c:manualLayout>
      </c:layout>
      <c:overlay val="false"/>
      <c:spPr>
        <a:noFill/>
        <a:ln w="25400">
          <a:noFill/>
        </a:ln>
        <a:effectLst/>
      </c:spPr>
    </c:title>
    <c:autoTitleDeleted val="false"/>
    <c:plotArea>
      <c:layout>
        <c:manualLayout>
          <c:layoutTarget val="inner"/>
          <c:xMode val="edge"/>
          <c:yMode val="edge"/>
          <c:x val="0.0857402361489555"/>
          <c:y val="0.166303874619068"/>
          <c:w val="0.890985467756585"/>
          <c:h val="0.742707879843274"/>
        </c:manualLayout>
      </c:layout>
      <c:barChart>
        <c:barDir val="col"/>
        <c:grouping val="clustered"/>
        <c:varyColors val="false"/>
        <c:ser>
          <c:idx val="0"/>
          <c:order val="0"/>
          <c:tx>
            <c:strRef>
              <c:f>分类型进度</c:f>
              <c:strCache>
                <c:ptCount val="1"/>
                <c:pt idx="0">
                  <c:v>分类型进度</c:v>
                </c:pt>
              </c:strCache>
            </c:strRef>
          </c:tx>
          <c:spPr>
            <a:solidFill>
              <a:schemeClr val="accent1"/>
            </a:solidFill>
            <a:ln>
              <a:noFill/>
            </a:ln>
            <a:effectLst/>
          </c:spPr>
          <c:invertIfNegative val="false"/>
          <c:dPt>
            <c:idx val="0"/>
            <c:invertIfNegative val="false"/>
            <c:bubble3D val="false"/>
            <c:spPr>
              <a:solidFill>
                <a:schemeClr val="tx2">
                  <a:lumMod val="60000"/>
                  <a:lumOff val="40000"/>
                </a:schemeClr>
              </a:solidFill>
              <a:ln>
                <a:noFill/>
              </a:ln>
              <a:effectLst/>
            </c:spPr>
          </c:dPt>
          <c:dPt>
            <c:idx val="1"/>
            <c:invertIfNegative val="false"/>
            <c:bubble3D val="false"/>
            <c:spPr>
              <a:solidFill>
                <a:schemeClr val="tx2">
                  <a:lumMod val="60000"/>
                  <a:lumOff val="40000"/>
                </a:schemeClr>
              </a:solidFill>
              <a:ln>
                <a:noFill/>
              </a:ln>
              <a:effectLst/>
            </c:spPr>
          </c:dPt>
          <c:dPt>
            <c:idx val="2"/>
            <c:invertIfNegative val="false"/>
            <c:bubble3D val="false"/>
            <c:spPr>
              <a:solidFill>
                <a:schemeClr val="tx2">
                  <a:lumMod val="60000"/>
                  <a:lumOff val="40000"/>
                </a:schemeClr>
              </a:solidFill>
              <a:ln>
                <a:noFill/>
              </a:ln>
              <a:effectLst/>
            </c:spPr>
          </c:dPt>
          <c:dPt>
            <c:idx val="3"/>
            <c:invertIfNegative val="false"/>
            <c:bubble3D val="false"/>
            <c:spPr>
              <a:solidFill>
                <a:schemeClr val="tx2">
                  <a:lumMod val="60000"/>
                  <a:lumOff val="40000"/>
                </a:schemeClr>
              </a:solidFill>
              <a:ln>
                <a:noFill/>
              </a:ln>
              <a:effectLst/>
            </c:spPr>
          </c:dPt>
          <c:dPt>
            <c:idx val="4"/>
            <c:invertIfNegative val="false"/>
            <c:bubble3D val="false"/>
            <c:spPr>
              <a:solidFill>
                <a:schemeClr val="tx2">
                  <a:lumMod val="60000"/>
                  <a:lumOff val="40000"/>
                </a:schemeClr>
              </a:solidFill>
              <a:ln>
                <a:noFill/>
              </a:ln>
              <a:effectLst/>
            </c:spPr>
          </c:dPt>
          <c:dPt>
            <c:idx val="5"/>
            <c:invertIfNegative val="false"/>
            <c:bubble3D val="false"/>
            <c:spPr>
              <a:solidFill>
                <a:schemeClr val="tx2">
                  <a:lumMod val="60000"/>
                  <a:lumOff val="40000"/>
                </a:schemeClr>
              </a:solidFill>
              <a:ln>
                <a:noFill/>
              </a:ln>
              <a:effectLst/>
            </c:spPr>
          </c:dPt>
          <c:dLbls>
            <c:dLbl>
              <c:idx val="3"/>
              <c:layout>
                <c:manualLayout>
                  <c:x val="0"/>
                  <c:y val="0.024579601717552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1.09329932152031e-7"/>
                  <c:y val="0.0138439843408788"/>
                </c:manualLayout>
              </c:layout>
              <c:numFmt formatCode="General" sourceLinked="true"/>
              <c:spPr>
                <a:noFill/>
                <a:ln w="25400">
                  <a:noFill/>
                </a:ln>
                <a:effectLst/>
              </c:spPr>
              <c:txPr>
                <a:bodyPr rot="0" spcFirstLastPara="1" vertOverflow="ellipsis" vert="horz" wrap="square" lIns="38100" tIns="19050" rIns="38100" bIns="19050" anchor="ctr" anchorCtr="true">
                  <a:noAutofit/>
                </a:bodyPr>
                <a:lstStyle/>
                <a:p>
                  <a:pPr>
                    <a:defRPr lang="zh-CN" sz="800" b="0" i="0" u="none" strike="noStrike" kern="1200" baseline="0">
                      <a:solidFill>
                        <a:schemeClr val="tx1">
                          <a:lumMod val="75000"/>
                          <a:lumOff val="25000"/>
                        </a:schemeClr>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manualLayout>
                  <c:x val="0"/>
                  <c:y val="0.018458403551571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1" vertOverflow="ellipsis" vert="horz" wrap="square" lIns="38100" tIns="19050" rIns="38100" bIns="19050" anchor="ctr" anchorCtr="true">
                <a:spAutoFit/>
              </a:bodyPr>
              <a:lstStyle/>
              <a:p>
                <a:pPr>
                  <a:defRPr lang="zh-CN" sz="800" b="0" i="0" u="none" strike="noStrike" kern="1200" baseline="0">
                    <a:solidFill>
                      <a:schemeClr val="tx1">
                        <a:lumMod val="75000"/>
                        <a:lumOff val="25000"/>
                      </a:schemeClr>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shade val="95000"/>
                          <a:satMod val="105000"/>
                        </a:schemeClr>
                      </a:solidFill>
                      <a:prstDash val="solid"/>
                      <a:round/>
                    </a:ln>
                    <a:effectLst/>
                  </c:spPr>
                </c15:leaderLines>
              </c:ext>
            </c:extLst>
          </c:dLbls>
          <c:cat>
            <c:strRef>
              <c:f>各项总体进展!$A$2:$A$7</c:f>
              <c:strCache>
                <c:ptCount val="6"/>
                <c:pt idx="0">
                  <c:v>改造供水管网</c:v>
                </c:pt>
                <c:pt idx="1">
                  <c:v>提升改造灌溉设施</c:v>
                </c:pt>
                <c:pt idx="2">
                  <c:v>水库除险加固</c:v>
                </c:pt>
                <c:pt idx="3">
                  <c:v>中小河流治理</c:v>
                </c:pt>
                <c:pt idx="4">
                  <c:v>病险山塘整治</c:v>
                </c:pt>
                <c:pt idx="5">
                  <c:v>提标加固海塘</c:v>
                </c:pt>
              </c:strCache>
            </c:strRef>
          </c:cat>
          <c:val>
            <c:numRef>
              <c:f>各项总体进展!$B$2:$B$7</c:f>
              <c:numCache>
                <c:formatCode>0.00%</c:formatCode>
                <c:ptCount val="6"/>
                <c:pt idx="0">
                  <c:v>0.8193</c:v>
                </c:pt>
                <c:pt idx="1">
                  <c:v>0.8107</c:v>
                </c:pt>
                <c:pt idx="2">
                  <c:v>0.7695</c:v>
                </c:pt>
                <c:pt idx="3">
                  <c:v>0.6723</c:v>
                </c:pt>
                <c:pt idx="4">
                  <c:v>0.6419</c:v>
                </c:pt>
                <c:pt idx="5">
                  <c:v>0.4865</c:v>
                </c:pt>
              </c:numCache>
            </c:numRef>
          </c:val>
        </c:ser>
        <c:dLbls>
          <c:showLegendKey val="false"/>
          <c:showVal val="false"/>
          <c:showCatName val="false"/>
          <c:showSerName val="false"/>
          <c:showPercent val="false"/>
          <c:showBubbleSize val="false"/>
        </c:dLbls>
        <c:gapWidth val="150"/>
        <c:axId val="94947344"/>
        <c:axId val="1"/>
      </c:barChart>
      <c:lineChart>
        <c:grouping val="standard"/>
        <c:varyColors val="false"/>
        <c:ser>
          <c:idx val="1"/>
          <c:order val="1"/>
          <c:tx>
            <c:strRef>
              <c:f>总体平均进度</c:f>
              <c:strCache>
                <c:ptCount val="1"/>
                <c:pt idx="0">
                  <c:v>总体平均进度</c:v>
                </c:pt>
              </c:strCache>
            </c:strRef>
          </c:tx>
          <c:spPr>
            <a:ln w="28575" cap="rnd" cmpd="sng" algn="ctr">
              <a:solidFill>
                <a:schemeClr val="accent2">
                  <a:shade val="95000"/>
                  <a:satMod val="105000"/>
                </a:schemeClr>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layout>
                <c:manualLayout>
                  <c:x val="-0.0788219439994717"/>
                  <c:y val="-0.0336603130009062"/>
                </c:manualLayout>
              </c:layout>
              <c:tx>
                <c:rich>
                  <a:bodyPr rot="0" spcFirstLastPara="1" vertOverflow="ellipsis" vert="horz" wrap="square" lIns="38100" tIns="19050" rIns="38100" bIns="19050" anchor="ctr" anchorCtr="true">
                    <a:noAutofit/>
                  </a:bodyPr>
                  <a:lstStyle/>
                  <a:p>
                    <a:pPr>
                      <a:defRPr lang="zh-CN" sz="1050" b="1" i="0" u="none" strike="noStrike" kern="1200" baseline="0">
                        <a:solidFill>
                          <a:schemeClr val="accent2"/>
                        </a:solidFill>
                        <a:latin typeface="Times New Roman" charset="0"/>
                        <a:ea typeface="宋体" charset="-122"/>
                        <a:cs typeface="Times New Roman" charset="0"/>
                      </a:defRPr>
                    </a:pPr>
                    <a:r>
                      <a:rPr lang="zh-CN" altLang="en-US" sz="1050" b="1">
                        <a:solidFill>
                          <a:schemeClr val="accent2"/>
                        </a:solidFill>
                        <a:latin typeface="Times New Roman" charset="0"/>
                        <a:ea typeface="宋体" charset="-122"/>
                        <a:cs typeface="Times New Roman" charset="0"/>
                      </a:rPr>
                      <a:t>总体平均进度</a:t>
                    </a:r>
                    <a:r>
                      <a:rPr lang="en-US" altLang="zh-CN" sz="1050" b="1">
                        <a:solidFill>
                          <a:schemeClr val="accent2"/>
                        </a:solidFill>
                        <a:latin typeface="Times New Roman" charset="0"/>
                        <a:ea typeface="宋体" charset="-122"/>
                        <a:cs typeface="Times New Roman" charset="0"/>
                      </a:rPr>
                      <a:t>76.74%</a:t>
                    </a:r>
                    <a:endParaRPr lang="en-US" altLang="zh-CN" sz="1050" b="1">
                      <a:solidFill>
                        <a:schemeClr val="accent2"/>
                      </a:solidFill>
                      <a:latin typeface="Times New Roman" charset="0"/>
                      <a:ea typeface="宋体" charset="-122"/>
                      <a:cs typeface="Times New Roman" charset="0"/>
                    </a:endParaRPr>
                  </a:p>
                </c:rich>
              </c:tx>
              <c:numFmt formatCode="General" sourceLinked="true"/>
              <c:spPr>
                <a:noFill/>
                <a:ln w="25400">
                  <a:noFill/>
                </a:ln>
                <a:effectLst/>
              </c:spPr>
              <c:txPr>
                <a:bodyPr rot="0" spcFirstLastPara="1" vertOverflow="ellipsis" vert="horz" wrap="square" lIns="38100" tIns="19050" rIns="38100" bIns="19050" anchor="ctr" anchorCtr="true">
                  <a:noAutofit/>
                </a:bodyPr>
                <a:lstStyle/>
                <a:p>
                  <a:pPr>
                    <a:defRPr lang="zh-CN" sz="1050" b="1" i="0" u="none" strike="noStrike" kern="1200" baseline="0">
                      <a:solidFill>
                        <a:schemeClr val="accent2"/>
                      </a:solidFill>
                      <a:latin typeface="Times New Roman" charset="0"/>
                      <a:ea typeface="宋体" charset="-122"/>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manualLayout>
                      <c:w val="0.263168896778135"/>
                      <c:h val="0.0668565166717439"/>
                    </c:manualLayout>
                  </c15:layout>
                </c:ext>
              </c:extLst>
            </c:dLbl>
            <c:spPr>
              <a:noFill/>
              <a:ln w="25400">
                <a:noFill/>
              </a:ln>
              <a:effectLst/>
            </c:spPr>
            <c:txPr>
              <a:bodyPr rot="0" spcFirstLastPara="1" vertOverflow="ellipsis" vert="horz" wrap="square" lIns="38100" tIns="19050" rIns="38100" bIns="19050" anchor="ctr" anchorCtr="true">
                <a:spAutoFit/>
              </a:bodyPr>
              <a:lstStyle/>
              <a:p>
                <a:pPr>
                  <a:defRPr lang="zh-CN" sz="1050" b="1"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shade val="95000"/>
                          <a:satMod val="105000"/>
                        </a:schemeClr>
                      </a:solidFill>
                      <a:prstDash val="solid"/>
                      <a:round/>
                    </a:ln>
                    <a:effectLst/>
                  </c:spPr>
                </c15:leaderLines>
              </c:ext>
            </c:extLst>
          </c:dLbls>
          <c:cat>
            <c:strRef>
              <c:f>各项总体进展!$A$2:$A$7</c:f>
              <c:strCache>
                <c:ptCount val="6"/>
                <c:pt idx="0">
                  <c:v>改造供水管网</c:v>
                </c:pt>
                <c:pt idx="1">
                  <c:v>提升改造灌溉设施</c:v>
                </c:pt>
                <c:pt idx="2">
                  <c:v>水库除险加固</c:v>
                </c:pt>
                <c:pt idx="3">
                  <c:v>中小河流治理</c:v>
                </c:pt>
                <c:pt idx="4">
                  <c:v>病险山塘整治</c:v>
                </c:pt>
                <c:pt idx="5">
                  <c:v>提标加固海塘</c:v>
                </c:pt>
              </c:strCache>
            </c:strRef>
          </c:cat>
          <c:val>
            <c:numRef>
              <c:f>各项总体进展!$C$2:$C$7</c:f>
              <c:numCache>
                <c:formatCode>0.00%</c:formatCode>
                <c:ptCount val="6"/>
                <c:pt idx="0">
                  <c:v>0.767367486548809</c:v>
                </c:pt>
                <c:pt idx="1">
                  <c:v>0.767367486548809</c:v>
                </c:pt>
                <c:pt idx="2">
                  <c:v>0.767367486548809</c:v>
                </c:pt>
                <c:pt idx="3">
                  <c:v>0.767367486548809</c:v>
                </c:pt>
                <c:pt idx="4">
                  <c:v>0.767367486548809</c:v>
                </c:pt>
                <c:pt idx="5">
                  <c:v>0.767367486548809</c:v>
                </c:pt>
              </c:numCache>
            </c:numRef>
          </c:val>
          <c:smooth val="false"/>
        </c:ser>
        <c:dLbls>
          <c:showLegendKey val="false"/>
          <c:showVal val="false"/>
          <c:showCatName val="false"/>
          <c:showSerName val="false"/>
          <c:showPercent val="false"/>
          <c:showBubbleSize val="false"/>
        </c:dLbls>
        <c:marker val="false"/>
        <c:smooth val="false"/>
        <c:axId val="94947344"/>
        <c:axId val="1"/>
      </c:lineChart>
      <c:catAx>
        <c:axId val="94947344"/>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true"/>
          <a:lstStyle/>
          <a:p>
            <a:pPr>
              <a:defRPr lang="zh-CN" sz="750" b="1" i="0" u="none" strike="noStrike" kern="1200" baseline="0">
                <a:solidFill>
                  <a:schemeClr val="tx1">
                    <a:lumMod val="65000"/>
                    <a:lumOff val="35000"/>
                  </a:schemeClr>
                </a:solidFill>
                <a:latin typeface="宋体" charset="-122"/>
                <a:ea typeface="宋体" charset="-122"/>
                <a:cs typeface="+mn-cs"/>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1" vertOverflow="ellipsis" vert="horz" wrap="square" anchor="ctr" anchorCtr="true"/>
          <a:lstStyle/>
          <a:p>
            <a:pPr>
              <a:defRPr lang="zh-CN" sz="800" b="0" i="0" u="none" strike="noStrike" kern="1200" baseline="0">
                <a:solidFill>
                  <a:schemeClr val="tx1">
                    <a:lumMod val="65000"/>
                    <a:lumOff val="35000"/>
                  </a:schemeClr>
                </a:solidFill>
                <a:latin typeface="Times New Roman" charset="0"/>
                <a:ea typeface="+mn-ea"/>
                <a:cs typeface="Times New Roman" charset="0"/>
              </a:defRPr>
            </a:pPr>
          </a:p>
        </c:txPr>
        <c:crossAx val="94947344"/>
        <c:crosses val="autoZero"/>
        <c:crossBetween val="between"/>
      </c:valAx>
      <c:spPr>
        <a:noFill/>
        <a:ln w="25400">
          <a:noFill/>
        </a:ln>
        <a:effectLst/>
      </c:spPr>
    </c:plotArea>
    <c:plotVisOnly val="true"/>
    <c:dispBlanksAs val="gap"/>
    <c:showDLblsOverMax val="false"/>
  </c:chart>
  <c:spPr>
    <a:solidFill>
      <a:srgbClr val="FFFFFF"/>
    </a:solidFill>
    <a:ln w="3175" cap="flat" cmpd="sng" algn="ctr">
      <a:solidFill>
        <a:srgbClr val="C0C0C0"/>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1"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zh-CN" sz="1400" b="0" cap="none" spc="0">
                <a:ln w="0"/>
                <a:solidFill>
                  <a:schemeClr val="tx1"/>
                </a:solidFill>
                <a:effectLst>
                  <a:outerShdw blurRad="38100" dist="19050" dir="2700000" algn="tl" rotWithShape="0">
                    <a:schemeClr val="dk1">
                      <a:alpha val="40000"/>
                    </a:schemeClr>
                  </a:outerShdw>
                </a:effectLst>
                <a:latin typeface="方正小标宋简体" panose="02000000000000000000" pitchFamily="4" charset="-122"/>
                <a:ea typeface="方正小标宋简体" panose="02000000000000000000" pitchFamily="4" charset="-122"/>
              </a:rPr>
              <a:t>水利民生实事分市进度</a:t>
            </a:r>
            <a:endParaRPr lang="zh-CN" sz="1400" b="0" cap="none" spc="0">
              <a:ln w="0"/>
              <a:solidFill>
                <a:schemeClr val="tx1"/>
              </a:solidFill>
              <a:effectLst>
                <a:outerShdw blurRad="38100" dist="19050" dir="2700000" algn="tl" rotWithShape="0">
                  <a:schemeClr val="dk1">
                    <a:alpha val="40000"/>
                  </a:schemeClr>
                </a:outerShdw>
              </a:effectLst>
              <a:latin typeface="方正小标宋简体" panose="02000000000000000000" pitchFamily="4" charset="-122"/>
              <a:ea typeface="方正小标宋简体" panose="02000000000000000000" pitchFamily="4" charset="-122"/>
            </a:endParaRPr>
          </a:p>
        </c:rich>
      </c:tx>
      <c:layout>
        <c:manualLayout>
          <c:xMode val="edge"/>
          <c:yMode val="edge"/>
          <c:x val="0.336794253002582"/>
          <c:y val="0.0450048496605238"/>
        </c:manualLayout>
      </c:layout>
      <c:overlay val="false"/>
      <c:spPr>
        <a:noFill/>
        <a:ln w="25400">
          <a:noFill/>
        </a:ln>
      </c:spPr>
    </c:title>
    <c:autoTitleDeleted val="false"/>
    <c:plotArea>
      <c:layout>
        <c:manualLayout>
          <c:layoutTarget val="inner"/>
          <c:xMode val="edge"/>
          <c:yMode val="edge"/>
          <c:x val="0.092064204736783"/>
          <c:y val="0.142530922930542"/>
          <c:w val="0.883241665731283"/>
          <c:h val="0.771417697431018"/>
        </c:manualLayout>
      </c:layout>
      <c:barChart>
        <c:barDir val="col"/>
        <c:grouping val="clustered"/>
        <c:varyColors val="false"/>
        <c:ser>
          <c:idx val="0"/>
          <c:order val="0"/>
          <c:tx>
            <c:strRef>
              <c:f>分时进度</c:f>
              <c:strCache>
                <c:ptCount val="1"/>
                <c:pt idx="0">
                  <c:v>分时进度</c:v>
                </c:pt>
              </c:strCache>
            </c:strRef>
          </c:tx>
          <c:spPr>
            <a:solidFill>
              <a:srgbClr val="5B9BD5"/>
            </a:solidFill>
            <a:ln w="25400">
              <a:noFill/>
            </a:ln>
          </c:spPr>
          <c:invertIfNegative val="false"/>
          <c:dPt>
            <c:idx val="10"/>
            <c:invertIfNegative val="false"/>
            <c:bubble3D val="false"/>
            <c:spPr>
              <a:gradFill>
                <a:gsLst>
                  <a:gs pos="0">
                    <a:srgbClr val="FECF40"/>
                  </a:gs>
                  <a:gs pos="100000">
                    <a:srgbClr val="846C21"/>
                  </a:gs>
                </a:gsLst>
                <a:lin ang="5400000" scaled="false"/>
              </a:gradFill>
              <a:ln w="25400">
                <a:noFill/>
              </a:ln>
            </c:spPr>
          </c:dPt>
          <c:dLbls>
            <c:dLbl>
              <c:idx val="6"/>
              <c:layout>
                <c:manualLayout>
                  <c:x val="0"/>
                  <c:y val="-0.0046535914183377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7"/>
              <c:layout>
                <c:manualLayout>
                  <c:x val="-1.0185067526416e-16"/>
                  <c:y val="-0.00893897205182366"/>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8"/>
              <c:layout>
                <c:manualLayout>
                  <c:x val="0.00430528235195734"/>
                  <c:y val="0.0347216004057046"/>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9"/>
              <c:layout>
                <c:manualLayout>
                  <c:x val="0.00561825693139774"/>
                  <c:y val="0.0335984667907557"/>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0"/>
              <c:layout>
                <c:manualLayout>
                  <c:x val="0"/>
                  <c:y val="0.0198168656350194"/>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分市进展!$A$2:$A$12</c:f>
              <c:strCache>
                <c:ptCount val="11"/>
                <c:pt idx="0">
                  <c:v>丽水市</c:v>
                </c:pt>
                <c:pt idx="1">
                  <c:v>衢州市</c:v>
                </c:pt>
                <c:pt idx="2">
                  <c:v>嘉兴市</c:v>
                </c:pt>
                <c:pt idx="3">
                  <c:v>绍兴市</c:v>
                </c:pt>
                <c:pt idx="4">
                  <c:v>金华市</c:v>
                </c:pt>
                <c:pt idx="5">
                  <c:v>杭州市</c:v>
                </c:pt>
                <c:pt idx="6">
                  <c:v>台州市</c:v>
                </c:pt>
                <c:pt idx="7">
                  <c:v>宁波市</c:v>
                </c:pt>
                <c:pt idx="8">
                  <c:v>温州市</c:v>
                </c:pt>
                <c:pt idx="9">
                  <c:v>湖州市</c:v>
                </c:pt>
                <c:pt idx="10">
                  <c:v>舟山市</c:v>
                </c:pt>
              </c:strCache>
            </c:strRef>
          </c:cat>
          <c:val>
            <c:numRef>
              <c:f>分市进展!$B$2:$B$12</c:f>
              <c:numCache>
                <c:formatCode>0.00%</c:formatCode>
                <c:ptCount val="11"/>
                <c:pt idx="0">
                  <c:v>0.894832065217391</c:v>
                </c:pt>
                <c:pt idx="1">
                  <c:v>0.830257823129252</c:v>
                </c:pt>
                <c:pt idx="2">
                  <c:v>0.798657219251337</c:v>
                </c:pt>
                <c:pt idx="3">
                  <c:v>0.785597348484849</c:v>
                </c:pt>
                <c:pt idx="4">
                  <c:v>0.753615124153499</c:v>
                </c:pt>
                <c:pt idx="5">
                  <c:v>0.752059872611465</c:v>
                </c:pt>
                <c:pt idx="6">
                  <c:v>0.747826978417266</c:v>
                </c:pt>
                <c:pt idx="7">
                  <c:v>0.74694011627907</c:v>
                </c:pt>
                <c:pt idx="8">
                  <c:v>0.737984</c:v>
                </c:pt>
                <c:pt idx="9">
                  <c:v>0.728990099009901</c:v>
                </c:pt>
                <c:pt idx="10">
                  <c:v>0.619747368421053</c:v>
                </c:pt>
              </c:numCache>
            </c:numRef>
          </c:val>
        </c:ser>
        <c:dLbls>
          <c:showLegendKey val="false"/>
          <c:showVal val="false"/>
          <c:showCatName val="false"/>
          <c:showSerName val="false"/>
          <c:showPercent val="false"/>
          <c:showBubbleSize val="false"/>
        </c:dLbls>
        <c:gapWidth val="150"/>
        <c:axId val="94946928"/>
        <c:axId val="1"/>
      </c:barChart>
      <c:lineChart>
        <c:grouping val="standard"/>
        <c:varyColors val="false"/>
        <c:ser>
          <c:idx val="1"/>
          <c:order val="1"/>
          <c:tx>
            <c:strRef>
              <c:f>总体平均进度</c:f>
              <c:strCache>
                <c:ptCount val="1"/>
                <c:pt idx="0">
                  <c:v>总体平均进度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delete val="true"/>
            </c:dLbl>
            <c:dLbl>
              <c:idx val="10"/>
              <c:layout>
                <c:manualLayout>
                  <c:x val="-0.00344365202300526"/>
                  <c:y val="-0.0513636824707904"/>
                </c:manualLayout>
              </c:layout>
              <c:tx>
                <c:rich>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宋体" charset="-122"/>
                        <a:cs typeface="Times New Roman" charset="0"/>
                      </a:defRPr>
                    </a:pPr>
                    <a:r>
                      <a:rPr lang="zh-CN" altLang="en-US" sz="1050" b="1">
                        <a:solidFill>
                          <a:schemeClr val="accent2"/>
                        </a:solidFill>
                        <a:latin typeface="Times New Roman" charset="0"/>
                        <a:ea typeface="宋体" charset="-122"/>
                        <a:cs typeface="Times New Roman" charset="0"/>
                      </a:rPr>
                      <a:t>总体平均进度</a:t>
                    </a:r>
                    <a:r>
                      <a:rPr lang="en-US" altLang="zh-CN" sz="1050" b="1">
                        <a:solidFill>
                          <a:schemeClr val="accent2"/>
                        </a:solidFill>
                        <a:latin typeface="Times New Roman" charset="0"/>
                        <a:ea typeface="宋体" charset="-122"/>
                        <a:cs typeface="Times New Roman" charset="0"/>
                      </a:rPr>
                      <a:t>76.74%</a:t>
                    </a:r>
                    <a:endParaRPr lang="en-US" altLang="zh-CN" sz="1050" b="1">
                      <a:solidFill>
                        <a:schemeClr val="accent2"/>
                      </a:solidFill>
                      <a:latin typeface="Times New Roman" charset="0"/>
                      <a:ea typeface="宋体" charset="-122"/>
                      <a:cs typeface="Times New Roman"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宋体" charset="-122"/>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manualLayout>
                      <c:w val="0.244535519125683"/>
                      <c:h val="0.0773148148148148"/>
                    </c:manualLayout>
                  </c15:layout>
                </c:ext>
              </c:extLst>
            </c:dLbl>
            <c:spPr>
              <a:noFill/>
              <a:ln>
                <a:noFill/>
              </a:ln>
              <a:effectLst/>
            </c:spPr>
            <c:txPr>
              <a:bodyPr rot="0" spcFirstLastPara="0" vertOverflow="ellipsis" vert="horz" wrap="square" lIns="38100" tIns="19050" rIns="38100" bIns="19050" anchor="ctr" anchorCtr="true"/>
              <a:lstStyle/>
              <a:p>
                <a:pPr>
                  <a:defRPr lang="zh-CN" sz="1050" b="1" i="0" u="none" strike="noStrike" kern="1200" baseline="0">
                    <a:solidFill>
                      <a:schemeClr val="tx1"/>
                    </a:solidFill>
                    <a:latin typeface="+mn-lt"/>
                    <a:ea typeface="+mn-ea"/>
                    <a:cs typeface="+mn-cs"/>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分市进展!$A$2:$A$12</c:f>
              <c:strCache>
                <c:ptCount val="11"/>
                <c:pt idx="0">
                  <c:v>丽水市</c:v>
                </c:pt>
                <c:pt idx="1">
                  <c:v>衢州市</c:v>
                </c:pt>
                <c:pt idx="2">
                  <c:v>嘉兴市</c:v>
                </c:pt>
                <c:pt idx="3">
                  <c:v>绍兴市</c:v>
                </c:pt>
                <c:pt idx="4">
                  <c:v>金华市</c:v>
                </c:pt>
                <c:pt idx="5">
                  <c:v>杭州市</c:v>
                </c:pt>
                <c:pt idx="6">
                  <c:v>台州市</c:v>
                </c:pt>
                <c:pt idx="7">
                  <c:v>宁波市</c:v>
                </c:pt>
                <c:pt idx="8">
                  <c:v>温州市</c:v>
                </c:pt>
                <c:pt idx="9">
                  <c:v>湖州市</c:v>
                </c:pt>
                <c:pt idx="10">
                  <c:v>舟山市</c:v>
                </c:pt>
              </c:strCache>
            </c:strRef>
          </c:cat>
          <c:val>
            <c:numRef>
              <c:f>分市进展!$C$2:$C$12</c:f>
              <c:numCache>
                <c:formatCode>0.00%</c:formatCode>
                <c:ptCount val="11"/>
                <c:pt idx="0">
                  <c:v>0.767367486548809</c:v>
                </c:pt>
                <c:pt idx="1">
                  <c:v>0.767367486548809</c:v>
                </c:pt>
                <c:pt idx="2">
                  <c:v>0.767367486548809</c:v>
                </c:pt>
                <c:pt idx="3">
                  <c:v>0.767367486548809</c:v>
                </c:pt>
                <c:pt idx="4">
                  <c:v>0.767367486548809</c:v>
                </c:pt>
                <c:pt idx="5">
                  <c:v>0.767367486548809</c:v>
                </c:pt>
                <c:pt idx="6">
                  <c:v>0.767367486548809</c:v>
                </c:pt>
                <c:pt idx="7">
                  <c:v>0.767367486548809</c:v>
                </c:pt>
                <c:pt idx="8">
                  <c:v>0.767367486548809</c:v>
                </c:pt>
                <c:pt idx="9">
                  <c:v>0.767367486548809</c:v>
                </c:pt>
                <c:pt idx="10">
                  <c:v>0.767367486548809</c:v>
                </c:pt>
              </c:numCache>
            </c:numRef>
          </c:val>
          <c:smooth val="false"/>
        </c:ser>
        <c:dLbls>
          <c:showLegendKey val="false"/>
          <c:showVal val="false"/>
          <c:showCatName val="false"/>
          <c:showSerName val="false"/>
          <c:showPercent val="false"/>
          <c:showBubbleSize val="false"/>
        </c:dLbls>
        <c:marker val="false"/>
        <c:smooth val="false"/>
        <c:axId val="94946928"/>
        <c:axId val="1"/>
      </c:lineChart>
      <c:catAx>
        <c:axId val="9494692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mn-cs"/>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94946928"/>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1" i="0" u="none" strike="noStrike" kern="1200" baseline="0">
                <a:solidFill>
                  <a:schemeClr val="tx1"/>
                </a:solidFill>
                <a:latin typeface="方正小标宋简体" panose="02000000000000000000" pitchFamily="4" charset="-122"/>
                <a:ea typeface="方正小标宋简体" panose="02000000000000000000" pitchFamily="4" charset="-122"/>
                <a:cs typeface="+mn-cs"/>
              </a:defRPr>
            </a:pPr>
            <a:r>
              <a:rPr lang="zh-CN" sz="1400" b="0">
                <a:latin typeface="方正小标宋简体" panose="02000000000000000000" pitchFamily="4" charset="-122"/>
                <a:ea typeface="方正小标宋简体" panose="02000000000000000000" pitchFamily="4" charset="-122"/>
              </a:rPr>
              <a:t>提标加固海塘分市进度</a:t>
            </a:r>
            <a:endParaRPr lang="zh-CN" sz="1400" b="0">
              <a:latin typeface="方正小标宋简体" panose="02000000000000000000" pitchFamily="4" charset="-122"/>
              <a:ea typeface="方正小标宋简体" panose="02000000000000000000" pitchFamily="4" charset="-122"/>
            </a:endParaRPr>
          </a:p>
        </c:rich>
      </c:tx>
      <c:layout>
        <c:manualLayout>
          <c:xMode val="edge"/>
          <c:yMode val="edge"/>
          <c:x val="0.331639566395664"/>
          <c:y val="0.0551609848484848"/>
        </c:manualLayout>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Pt>
            <c:idx val="3"/>
            <c:invertIfNegative val="false"/>
            <c:bubble3D val="false"/>
            <c:spPr>
              <a:gradFill>
                <a:gsLst>
                  <a:gs pos="0">
                    <a:srgbClr val="FECF40"/>
                  </a:gs>
                  <a:gs pos="100000">
                    <a:srgbClr val="846C21"/>
                  </a:gs>
                </a:gsLst>
                <a:lin ang="5400000" scaled="false"/>
              </a:gradFill>
              <a:ln w="25400">
                <a:noFill/>
              </a:ln>
            </c:spPr>
          </c:dPt>
          <c:dPt>
            <c:idx val="4"/>
            <c:invertIfNegative val="false"/>
            <c:bubble3D val="false"/>
            <c:spPr>
              <a:gradFill>
                <a:gsLst>
                  <a:gs pos="0">
                    <a:srgbClr val="FECF40"/>
                  </a:gs>
                  <a:gs pos="100000">
                    <a:srgbClr val="846C21"/>
                  </a:gs>
                </a:gsLst>
                <a:lin ang="5400000" scaled="false"/>
              </a:gradFill>
              <a:ln w="25400">
                <a:noFill/>
              </a:ln>
            </c:spPr>
          </c:dPt>
          <c:dPt>
            <c:idx val="5"/>
            <c:invertIfNegative val="false"/>
            <c:bubble3D val="false"/>
            <c:spPr>
              <a:gradFill>
                <a:gsLst>
                  <a:gs pos="0">
                    <a:srgbClr val="FECF40"/>
                  </a:gs>
                  <a:gs pos="100000">
                    <a:srgbClr val="846C21"/>
                  </a:gs>
                </a:gsLst>
                <a:lin ang="5400000" scaled="false"/>
              </a:gradFill>
              <a:ln w="25400">
                <a:noFill/>
              </a:ln>
            </c:spPr>
          </c:dPt>
          <c:dPt>
            <c:idx val="6"/>
            <c:invertIfNegative val="false"/>
            <c:bubble3D val="false"/>
            <c:spPr>
              <a:gradFill>
                <a:gsLst>
                  <a:gs pos="0">
                    <a:srgbClr val="E30000"/>
                  </a:gs>
                  <a:gs pos="100000">
                    <a:srgbClr val="760303"/>
                  </a:gs>
                </a:gsLst>
                <a:lin ang="5400000" scaled="false"/>
              </a:gradFill>
              <a:ln w="25400">
                <a:noFill/>
              </a:ln>
            </c:spPr>
          </c:dPt>
          <c:dLbls>
            <c:dLbl>
              <c:idx val="3"/>
              <c:layout>
                <c:manualLayout>
                  <c:x val="0.00564588979223126"/>
                  <c:y val="0.0338541666666666"/>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0417795844625113"/>
                  <c:y val="0.020833333333333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manualLayout>
                  <c:x val="0.00700090334236676"/>
                  <c:y val="0.0149147727272727"/>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6"/>
              <c:layout>
                <c:manualLayout>
                  <c:x val="0.00282294489611563"/>
                  <c:y val="0.020833333333333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海塘!$A$2:$A$8</c:f>
              <c:strCache>
                <c:ptCount val="7"/>
                <c:pt idx="0">
                  <c:v>台州市</c:v>
                </c:pt>
                <c:pt idx="1">
                  <c:v>宁波市</c:v>
                </c:pt>
                <c:pt idx="2">
                  <c:v>温州市</c:v>
                </c:pt>
                <c:pt idx="3">
                  <c:v>舟山市</c:v>
                </c:pt>
                <c:pt idx="4">
                  <c:v>绍兴市</c:v>
                </c:pt>
                <c:pt idx="5">
                  <c:v>杭州市</c:v>
                </c:pt>
                <c:pt idx="6">
                  <c:v>嘉兴市</c:v>
                </c:pt>
              </c:strCache>
            </c:strRef>
          </c:cat>
          <c:val>
            <c:numRef>
              <c:f>海塘!$B$2:$B$8</c:f>
              <c:numCache>
                <c:formatCode>0.00%</c:formatCode>
                <c:ptCount val="7"/>
                <c:pt idx="0">
                  <c:v>0.7143</c:v>
                </c:pt>
                <c:pt idx="1">
                  <c:v>0.5269</c:v>
                </c:pt>
                <c:pt idx="2">
                  <c:v>0.5136</c:v>
                </c:pt>
                <c:pt idx="3">
                  <c:v>0.4389</c:v>
                </c:pt>
                <c:pt idx="4">
                  <c:v>0.4</c:v>
                </c:pt>
                <c:pt idx="5">
                  <c:v>0.3</c:v>
                </c:pt>
                <c:pt idx="6">
                  <c:v>0.15</c:v>
                </c:pt>
              </c:numCache>
            </c:numRef>
          </c:val>
        </c:ser>
        <c:dLbls>
          <c:showLegendKey val="false"/>
          <c:showVal val="false"/>
          <c:showCatName val="false"/>
          <c:showSerName val="false"/>
          <c:showPercent val="false"/>
          <c:showBubbleSize val="false"/>
        </c:dLbls>
        <c:gapWidth val="150"/>
        <c:axId val="94942768"/>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layout>
                <c:manualLayout>
                  <c:x val="-0.0734756097560975"/>
                  <c:y val="-0.0591696445905466"/>
                </c:manualLayout>
              </c:layout>
              <c:tx>
                <c:rich>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宋体" charset="-122"/>
                        <a:cs typeface="Times New Roman" charset="0"/>
                      </a:defRPr>
                    </a:pPr>
                    <a:r>
                      <a:rPr lang="zh-CN" altLang="en-US" sz="1050" b="1">
                        <a:solidFill>
                          <a:schemeClr val="accent2"/>
                        </a:solidFill>
                        <a:latin typeface="Times New Roman" charset="0"/>
                        <a:ea typeface="宋体" charset="-122"/>
                        <a:cs typeface="Times New Roman" charset="0"/>
                      </a:rPr>
                      <a:t>平均进度</a:t>
                    </a:r>
                    <a:r>
                      <a:rPr lang="en-US" altLang="zh-CN" sz="1050" b="1">
                        <a:solidFill>
                          <a:schemeClr val="accent2"/>
                        </a:solidFill>
                        <a:latin typeface="Times New Roman" charset="0"/>
                        <a:ea typeface="宋体" charset="-122"/>
                        <a:cs typeface="Times New Roman" charset="0"/>
                      </a:rPr>
                      <a:t>48.65%</a:t>
                    </a:r>
                    <a:endParaRPr lang="en-US" altLang="zh-CN" sz="1050" b="1">
                      <a:solidFill>
                        <a:schemeClr val="accent2"/>
                      </a:solidFill>
                      <a:latin typeface="Times New Roman" charset="0"/>
                      <a:ea typeface="宋体" charset="-122"/>
                      <a:cs typeface="Times New Roman"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宋体" charset="-122"/>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mn-lt"/>
                    <a:ea typeface="+mn-ea"/>
                    <a:cs typeface="+mn-cs"/>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海塘!$A$2:$A$8</c:f>
              <c:strCache>
                <c:ptCount val="7"/>
                <c:pt idx="0">
                  <c:v>台州市</c:v>
                </c:pt>
                <c:pt idx="1">
                  <c:v>宁波市</c:v>
                </c:pt>
                <c:pt idx="2">
                  <c:v>温州市</c:v>
                </c:pt>
                <c:pt idx="3">
                  <c:v>舟山市</c:v>
                </c:pt>
                <c:pt idx="4">
                  <c:v>绍兴市</c:v>
                </c:pt>
                <c:pt idx="5">
                  <c:v>杭州市</c:v>
                </c:pt>
                <c:pt idx="6">
                  <c:v>嘉兴市</c:v>
                </c:pt>
              </c:strCache>
            </c:strRef>
          </c:cat>
          <c:val>
            <c:numRef>
              <c:f>海塘!$C$2:$C$8</c:f>
              <c:numCache>
                <c:formatCode>0.00%</c:formatCode>
                <c:ptCount val="7"/>
                <c:pt idx="0">
                  <c:v>0.4865</c:v>
                </c:pt>
                <c:pt idx="1">
                  <c:v>0.4865</c:v>
                </c:pt>
                <c:pt idx="2">
                  <c:v>0.4865</c:v>
                </c:pt>
                <c:pt idx="3">
                  <c:v>0.4865</c:v>
                </c:pt>
                <c:pt idx="4">
                  <c:v>0.4865</c:v>
                </c:pt>
                <c:pt idx="5">
                  <c:v>0.4865</c:v>
                </c:pt>
                <c:pt idx="6">
                  <c:v>0.4865</c:v>
                </c:pt>
              </c:numCache>
            </c:numRef>
          </c:val>
          <c:smooth val="false"/>
        </c:ser>
        <c:dLbls>
          <c:showLegendKey val="false"/>
          <c:showVal val="false"/>
          <c:showCatName val="false"/>
          <c:showSerName val="false"/>
          <c:showPercent val="false"/>
          <c:showBubbleSize val="false"/>
        </c:dLbls>
        <c:marker val="false"/>
        <c:smooth val="false"/>
        <c:axId val="94942768"/>
        <c:axId val="1"/>
      </c:lineChart>
      <c:catAx>
        <c:axId val="9494276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mn-cs"/>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94942768"/>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charset="0"/>
              </a:defRPr>
            </a:pPr>
            <a:r>
              <a:rPr lang="zh-CN" sz="1400" b="0">
                <a:latin typeface="方正小标宋简体" panose="02000000000000000000" pitchFamily="4" charset="-122"/>
                <a:ea typeface="方正小标宋简体" panose="02000000000000000000" pitchFamily="4" charset="-122"/>
              </a:rPr>
              <a:t>病险水库除险加固分市进度</a:t>
            </a:r>
            <a:endParaRPr lang="zh-CN" sz="1400" b="0">
              <a:latin typeface="方正小标宋简体" panose="02000000000000000000" pitchFamily="4" charset="-122"/>
              <a:ea typeface="方正小标宋简体" panose="02000000000000000000" pitchFamily="4" charset="-122"/>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dLbl>
              <c:idx val="7"/>
              <c:layout>
                <c:manualLayout>
                  <c:x val="-1.0185067526416e-16"/>
                  <c:y val="0.023259749497992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8"/>
              <c:layout>
                <c:manualLayout>
                  <c:x val="0"/>
                  <c:y val="0.023259749497992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9"/>
              <c:layout>
                <c:manualLayout>
                  <c:x val="-1.0185067526416e-16"/>
                  <c:y val="0.018607799598393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水库!$A$2:$A$11</c:f>
              <c:strCache>
                <c:ptCount val="10"/>
                <c:pt idx="0">
                  <c:v>宁波市</c:v>
                </c:pt>
                <c:pt idx="1">
                  <c:v>杭州市</c:v>
                </c:pt>
                <c:pt idx="2">
                  <c:v>丽水市</c:v>
                </c:pt>
                <c:pt idx="3">
                  <c:v>衢州市</c:v>
                </c:pt>
                <c:pt idx="4">
                  <c:v>金华市</c:v>
                </c:pt>
                <c:pt idx="5">
                  <c:v>湖州市</c:v>
                </c:pt>
                <c:pt idx="6">
                  <c:v>绍兴市</c:v>
                </c:pt>
                <c:pt idx="7">
                  <c:v>舟山市</c:v>
                </c:pt>
                <c:pt idx="8">
                  <c:v>台州市</c:v>
                </c:pt>
                <c:pt idx="9">
                  <c:v>温州市</c:v>
                </c:pt>
              </c:strCache>
            </c:strRef>
          </c:cat>
          <c:val>
            <c:numRef>
              <c:f>水库!$B$2:$B$11</c:f>
              <c:numCache>
                <c:formatCode>0.00%</c:formatCode>
                <c:ptCount val="10"/>
                <c:pt idx="0">
                  <c:v>0.875</c:v>
                </c:pt>
                <c:pt idx="1">
                  <c:v>0.8574</c:v>
                </c:pt>
                <c:pt idx="2">
                  <c:v>0.85</c:v>
                </c:pt>
                <c:pt idx="3">
                  <c:v>0.8174</c:v>
                </c:pt>
                <c:pt idx="4">
                  <c:v>0.7902</c:v>
                </c:pt>
                <c:pt idx="5">
                  <c:v>0.7667</c:v>
                </c:pt>
                <c:pt idx="6">
                  <c:v>0.7552</c:v>
                </c:pt>
                <c:pt idx="7">
                  <c:v>0.7</c:v>
                </c:pt>
                <c:pt idx="8">
                  <c:v>0.6895</c:v>
                </c:pt>
                <c:pt idx="9">
                  <c:v>0.6808</c:v>
                </c:pt>
              </c:numCache>
            </c:numRef>
          </c:val>
        </c:ser>
        <c:dLbls>
          <c:showLegendKey val="false"/>
          <c:showVal val="false"/>
          <c:showCatName val="false"/>
          <c:showSerName val="false"/>
          <c:showPercent val="false"/>
          <c:showBubbleSize val="false"/>
        </c:dLbls>
        <c:gapWidth val="150"/>
        <c:axId val="260273168"/>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layout>
                <c:manualLayout>
                  <c:x val="-0.0666666666666667"/>
                  <c:y val="-0.0367762623422073"/>
                </c:manualLayout>
              </c:layout>
              <c:tx>
                <c:rich>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mn-ea"/>
                        <a:cs typeface="Times New Roman" charset="0"/>
                      </a:defRPr>
                    </a:pPr>
                    <a:r>
                      <a:rPr lang="zh-CN" altLang="en-US" sz="1050" b="1">
                        <a:solidFill>
                          <a:schemeClr val="accent2"/>
                        </a:solidFill>
                      </a:rPr>
                      <a:t>平均进度</a:t>
                    </a:r>
                    <a:r>
                      <a:rPr lang="en-US" altLang="zh-CN" sz="1050" b="1">
                        <a:solidFill>
                          <a:schemeClr val="accent2"/>
                        </a:solidFill>
                      </a:rPr>
                      <a:t>76.95%</a:t>
                    </a:r>
                    <a:endParaRPr lang="en-US" altLang="zh-CN" sz="1050" b="1">
                      <a:solidFill>
                        <a:schemeClr val="accent2"/>
                      </a:solidFill>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mn-ea"/>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50" b="1" i="0" u="none" strike="noStrike" kern="1200" baseline="0">
                    <a:solidFill>
                      <a:schemeClr val="tx1"/>
                    </a:solidFill>
                    <a:latin typeface="Times New Roman" charset="0"/>
                    <a:ea typeface="+mn-ea"/>
                    <a:cs typeface="Times New Roman"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水库!$A$2:$A$11</c:f>
              <c:strCache>
                <c:ptCount val="10"/>
                <c:pt idx="0">
                  <c:v>宁波市</c:v>
                </c:pt>
                <c:pt idx="1">
                  <c:v>杭州市</c:v>
                </c:pt>
                <c:pt idx="2">
                  <c:v>丽水市</c:v>
                </c:pt>
                <c:pt idx="3">
                  <c:v>衢州市</c:v>
                </c:pt>
                <c:pt idx="4">
                  <c:v>金华市</c:v>
                </c:pt>
                <c:pt idx="5">
                  <c:v>湖州市</c:v>
                </c:pt>
                <c:pt idx="6">
                  <c:v>绍兴市</c:v>
                </c:pt>
                <c:pt idx="7">
                  <c:v>舟山市</c:v>
                </c:pt>
                <c:pt idx="8">
                  <c:v>台州市</c:v>
                </c:pt>
                <c:pt idx="9">
                  <c:v>温州市</c:v>
                </c:pt>
              </c:strCache>
            </c:strRef>
          </c:cat>
          <c:val>
            <c:numRef>
              <c:f>水库!$C$2:$C$11</c:f>
              <c:numCache>
                <c:formatCode>0.00%</c:formatCode>
                <c:ptCount val="10"/>
                <c:pt idx="0">
                  <c:v>0.7695</c:v>
                </c:pt>
                <c:pt idx="1">
                  <c:v>0.7695</c:v>
                </c:pt>
                <c:pt idx="2">
                  <c:v>0.7695</c:v>
                </c:pt>
                <c:pt idx="3">
                  <c:v>0.7695</c:v>
                </c:pt>
                <c:pt idx="4">
                  <c:v>0.7695</c:v>
                </c:pt>
                <c:pt idx="5">
                  <c:v>0.7695</c:v>
                </c:pt>
                <c:pt idx="6">
                  <c:v>0.7695</c:v>
                </c:pt>
                <c:pt idx="7">
                  <c:v>0.7695</c:v>
                </c:pt>
                <c:pt idx="8">
                  <c:v>0.7695</c:v>
                </c:pt>
                <c:pt idx="9">
                  <c:v>0.7695</c:v>
                </c:pt>
              </c:numCache>
            </c:numRef>
          </c:val>
          <c:smooth val="false"/>
        </c:ser>
        <c:dLbls>
          <c:showLegendKey val="false"/>
          <c:showVal val="false"/>
          <c:showCatName val="false"/>
          <c:showSerName val="false"/>
          <c:showPercent val="false"/>
          <c:showBubbleSize val="false"/>
        </c:dLbls>
        <c:marker val="false"/>
        <c:smooth val="false"/>
        <c:axId val="260273168"/>
        <c:axId val="1"/>
      </c:lineChart>
      <c:catAx>
        <c:axId val="26027316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260273168"/>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charset="0"/>
          <a:cs typeface="Times New Roman" charset="0"/>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charset="0"/>
              </a:defRPr>
            </a:pPr>
            <a:r>
              <a:rPr lang="zh-CN" sz="1400" b="0">
                <a:latin typeface="方正小标宋简体" panose="02000000000000000000" pitchFamily="4" charset="-122"/>
                <a:ea typeface="方正小标宋简体" panose="02000000000000000000" pitchFamily="4" charset="-122"/>
              </a:rPr>
              <a:t>整治病险山塘分市进度</a:t>
            </a:r>
            <a:endParaRPr lang="zh-CN" sz="1400" b="0">
              <a:latin typeface="方正小标宋简体" panose="02000000000000000000" pitchFamily="4" charset="-122"/>
              <a:ea typeface="方正小标宋简体" panose="02000000000000000000" pitchFamily="4" charset="-122"/>
            </a:endParaRPr>
          </a:p>
        </c:rich>
      </c:tx>
      <c:layout>
        <c:manualLayout>
          <c:xMode val="edge"/>
          <c:yMode val="edge"/>
          <c:x val="0.33468651330627"/>
          <c:y val="0.0478821362799263"/>
        </c:manualLayout>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Pt>
            <c:idx val="8"/>
            <c:invertIfNegative val="false"/>
            <c:bubble3D val="false"/>
            <c:spPr>
              <a:gradFill>
                <a:gsLst>
                  <a:gs pos="0">
                    <a:srgbClr val="FECF40"/>
                  </a:gs>
                  <a:gs pos="100000">
                    <a:srgbClr val="846C21"/>
                  </a:gs>
                </a:gsLst>
                <a:lin ang="5400000" scaled="false"/>
              </a:gradFill>
              <a:ln w="25400">
                <a:noFill/>
              </a:ln>
            </c:spPr>
          </c:dPt>
          <c:dPt>
            <c:idx val="9"/>
            <c:invertIfNegative val="false"/>
            <c:bubble3D val="false"/>
            <c:spPr>
              <a:gradFill>
                <a:gsLst>
                  <a:gs pos="0">
                    <a:srgbClr val="FECF40"/>
                  </a:gs>
                  <a:gs pos="100000">
                    <a:srgbClr val="846C21"/>
                  </a:gs>
                </a:gsLst>
                <a:lin ang="5400000" scaled="false"/>
              </a:gradFill>
              <a:ln w="25400">
                <a:noFill/>
              </a:ln>
            </c:spPr>
          </c:dPt>
          <c:dLbls>
            <c:dLbl>
              <c:idx val="6"/>
              <c:layout>
                <c:manualLayout>
                  <c:x val="0"/>
                  <c:y val="0.0003040092537450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7"/>
              <c:layout>
                <c:manualLayout>
                  <c:x val="0.00277777777777776"/>
                  <c:y val="-0.00936961861324696"/>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8"/>
              <c:layout>
                <c:manualLayout>
                  <c:x val="0"/>
                  <c:y val="0.013956969308221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9"/>
              <c:layout>
                <c:manualLayout>
                  <c:x val="0"/>
                  <c:y val="0.023153625948979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山塘!$A$2:$A$11</c:f>
              <c:strCache>
                <c:ptCount val="10"/>
                <c:pt idx="0">
                  <c:v>湖州市</c:v>
                </c:pt>
                <c:pt idx="1">
                  <c:v>丽水市</c:v>
                </c:pt>
                <c:pt idx="2">
                  <c:v>衢州市</c:v>
                </c:pt>
                <c:pt idx="3">
                  <c:v>绍兴市</c:v>
                </c:pt>
                <c:pt idx="4">
                  <c:v>温州市</c:v>
                </c:pt>
                <c:pt idx="5">
                  <c:v>宁波市</c:v>
                </c:pt>
                <c:pt idx="6">
                  <c:v>金华市</c:v>
                </c:pt>
                <c:pt idx="7">
                  <c:v>杭州市</c:v>
                </c:pt>
                <c:pt idx="8">
                  <c:v>台州市</c:v>
                </c:pt>
                <c:pt idx="9">
                  <c:v>舟山市</c:v>
                </c:pt>
              </c:strCache>
            </c:strRef>
          </c:cat>
          <c:val>
            <c:numRef>
              <c:f>山塘!$B$2:$B$11</c:f>
              <c:numCache>
                <c:formatCode>0.00%</c:formatCode>
                <c:ptCount val="10"/>
                <c:pt idx="0">
                  <c:v>0.9</c:v>
                </c:pt>
                <c:pt idx="1">
                  <c:v>0.8288</c:v>
                </c:pt>
                <c:pt idx="2">
                  <c:v>0.7367</c:v>
                </c:pt>
                <c:pt idx="3">
                  <c:v>0.7333</c:v>
                </c:pt>
                <c:pt idx="4">
                  <c:v>0.6833</c:v>
                </c:pt>
                <c:pt idx="5">
                  <c:v>0.6157</c:v>
                </c:pt>
                <c:pt idx="6">
                  <c:v>0.6157</c:v>
                </c:pt>
                <c:pt idx="7">
                  <c:v>0.605</c:v>
                </c:pt>
                <c:pt idx="8">
                  <c:v>0.5354</c:v>
                </c:pt>
                <c:pt idx="9">
                  <c:v>0.5143</c:v>
                </c:pt>
              </c:numCache>
            </c:numRef>
          </c:val>
        </c:ser>
        <c:dLbls>
          <c:showLegendKey val="false"/>
          <c:showVal val="false"/>
          <c:showCatName val="false"/>
          <c:showSerName val="false"/>
          <c:showPercent val="false"/>
          <c:showBubbleSize val="false"/>
        </c:dLbls>
        <c:gapWidth val="150"/>
        <c:axId val="260275664"/>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layout>
                <c:manualLayout>
                  <c:x val="-0.0360340550293189"/>
                  <c:y val="-0.0565596167996296"/>
                </c:manualLayout>
              </c:layout>
              <c:tx>
                <c:rich>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mn-ea"/>
                        <a:cs typeface="Times New Roman" charset="0"/>
                      </a:defRPr>
                    </a:pPr>
                    <a:r>
                      <a:rPr lang="zh-CN" altLang="en-US" sz="1050" b="1">
                        <a:solidFill>
                          <a:schemeClr val="accent2"/>
                        </a:solidFill>
                      </a:rPr>
                      <a:t>平均进度</a:t>
                    </a:r>
                    <a:r>
                      <a:rPr lang="en-US" altLang="zh-CN" sz="1050" b="1">
                        <a:solidFill>
                          <a:schemeClr val="accent2"/>
                        </a:solidFill>
                      </a:rPr>
                      <a:t>64.19%</a:t>
                    </a:r>
                    <a:endParaRPr lang="en-US" altLang="zh-CN" sz="1050" b="1">
                      <a:solidFill>
                        <a:schemeClr val="accent2"/>
                      </a:solidFill>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mn-ea"/>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manualLayout>
                      <c:w val="0.195647271087055"/>
                      <c:h val="0.074585635359116"/>
                    </c:manualLayout>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山塘!$A$2:$A$11</c:f>
              <c:strCache>
                <c:ptCount val="10"/>
                <c:pt idx="0">
                  <c:v>湖州市</c:v>
                </c:pt>
                <c:pt idx="1">
                  <c:v>丽水市</c:v>
                </c:pt>
                <c:pt idx="2">
                  <c:v>衢州市</c:v>
                </c:pt>
                <c:pt idx="3">
                  <c:v>绍兴市</c:v>
                </c:pt>
                <c:pt idx="4">
                  <c:v>温州市</c:v>
                </c:pt>
                <c:pt idx="5">
                  <c:v>宁波市</c:v>
                </c:pt>
                <c:pt idx="6">
                  <c:v>金华市</c:v>
                </c:pt>
                <c:pt idx="7">
                  <c:v>杭州市</c:v>
                </c:pt>
                <c:pt idx="8">
                  <c:v>台州市</c:v>
                </c:pt>
                <c:pt idx="9">
                  <c:v>舟山市</c:v>
                </c:pt>
              </c:strCache>
            </c:strRef>
          </c:cat>
          <c:val>
            <c:numRef>
              <c:f>山塘!$C$2:$C$11</c:f>
              <c:numCache>
                <c:formatCode>0.00%</c:formatCode>
                <c:ptCount val="10"/>
                <c:pt idx="0">
                  <c:v>0.6419</c:v>
                </c:pt>
                <c:pt idx="1">
                  <c:v>0.6419</c:v>
                </c:pt>
                <c:pt idx="2">
                  <c:v>0.6419</c:v>
                </c:pt>
                <c:pt idx="3">
                  <c:v>0.6419</c:v>
                </c:pt>
                <c:pt idx="4">
                  <c:v>0.6419</c:v>
                </c:pt>
                <c:pt idx="5">
                  <c:v>0.6419</c:v>
                </c:pt>
                <c:pt idx="6">
                  <c:v>0.6419</c:v>
                </c:pt>
                <c:pt idx="7">
                  <c:v>0.6419</c:v>
                </c:pt>
                <c:pt idx="8">
                  <c:v>0.6419</c:v>
                </c:pt>
                <c:pt idx="9">
                  <c:v>0.6419</c:v>
                </c:pt>
              </c:numCache>
            </c:numRef>
          </c:val>
          <c:smooth val="false"/>
        </c:ser>
        <c:dLbls>
          <c:showLegendKey val="false"/>
          <c:showVal val="false"/>
          <c:showCatName val="false"/>
          <c:showSerName val="false"/>
          <c:showPercent val="false"/>
          <c:showBubbleSize val="false"/>
        </c:dLbls>
        <c:marker val="false"/>
        <c:smooth val="false"/>
        <c:axId val="260275664"/>
        <c:axId val="1"/>
      </c:lineChart>
      <c:catAx>
        <c:axId val="260275664"/>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260275664"/>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charset="0"/>
          <a:cs typeface="Times New Roman" charset="0"/>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charset="0"/>
              </a:defRPr>
            </a:pPr>
            <a:r>
              <a:rPr lang="zh-CN" sz="1400" b="0">
                <a:latin typeface="方正小标宋简体" panose="02000000000000000000" pitchFamily="4" charset="-122"/>
                <a:ea typeface="方正小标宋简体" panose="02000000000000000000" pitchFamily="4" charset="-122"/>
              </a:rPr>
              <a:t>提升改造农业灌溉设施分市进度</a:t>
            </a:r>
            <a:endParaRPr lang="zh-CN" sz="1400" b="0">
              <a:latin typeface="方正小标宋简体" panose="02000000000000000000" pitchFamily="4" charset="-122"/>
              <a:ea typeface="方正小标宋简体" panose="02000000000000000000" pitchFamily="4" charset="-122"/>
            </a:endParaRPr>
          </a:p>
        </c:rich>
      </c:tx>
      <c:layout>
        <c:manualLayout>
          <c:xMode val="edge"/>
          <c:yMode val="edge"/>
          <c:x val="0.268581851345189"/>
          <c:y val="0.0497118155619597"/>
        </c:manualLayout>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dLbl>
              <c:idx val="9"/>
              <c:layout>
                <c:manualLayout>
                  <c:x val="1.03681566549581e-16"/>
                  <c:y val="0.0488251549798586"/>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0"/>
              <c:layout>
                <c:manualLayout>
                  <c:x val="0"/>
                  <c:y val="0.024800029034180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灌溉设施!$A$2:$A$12</c:f>
              <c:strCache>
                <c:ptCount val="11"/>
                <c:pt idx="0">
                  <c:v>舟山市</c:v>
                </c:pt>
                <c:pt idx="1">
                  <c:v>丽水市</c:v>
                </c:pt>
                <c:pt idx="2">
                  <c:v>衢州市</c:v>
                </c:pt>
                <c:pt idx="3">
                  <c:v>金华市</c:v>
                </c:pt>
                <c:pt idx="4">
                  <c:v>嘉兴市</c:v>
                </c:pt>
                <c:pt idx="5">
                  <c:v>绍兴市</c:v>
                </c:pt>
                <c:pt idx="6">
                  <c:v>杭州市</c:v>
                </c:pt>
                <c:pt idx="7">
                  <c:v>温州市</c:v>
                </c:pt>
                <c:pt idx="8">
                  <c:v>台州市</c:v>
                </c:pt>
                <c:pt idx="9">
                  <c:v>宁波市</c:v>
                </c:pt>
                <c:pt idx="10">
                  <c:v>湖州市</c:v>
                </c:pt>
              </c:strCache>
            </c:strRef>
          </c:cat>
          <c:val>
            <c:numRef>
              <c:f>灌溉设施!$B$2:$B$12</c:f>
              <c:numCache>
                <c:formatCode>0.00%</c:formatCode>
                <c:ptCount val="11"/>
                <c:pt idx="0">
                  <c:v>0.9833</c:v>
                </c:pt>
                <c:pt idx="1">
                  <c:v>0.9211</c:v>
                </c:pt>
                <c:pt idx="2">
                  <c:v>0.8636</c:v>
                </c:pt>
                <c:pt idx="3">
                  <c:v>0.8467</c:v>
                </c:pt>
                <c:pt idx="4">
                  <c:v>0.8385</c:v>
                </c:pt>
                <c:pt idx="5">
                  <c:v>0.8172</c:v>
                </c:pt>
                <c:pt idx="6">
                  <c:v>0.8119</c:v>
                </c:pt>
                <c:pt idx="7">
                  <c:v>0.7972</c:v>
                </c:pt>
                <c:pt idx="8">
                  <c:v>0.7958</c:v>
                </c:pt>
                <c:pt idx="9">
                  <c:v>0.7823</c:v>
                </c:pt>
                <c:pt idx="10">
                  <c:v>0.7215</c:v>
                </c:pt>
              </c:numCache>
            </c:numRef>
          </c:val>
        </c:ser>
        <c:dLbls>
          <c:showLegendKey val="false"/>
          <c:showVal val="false"/>
          <c:showCatName val="false"/>
          <c:showSerName val="false"/>
          <c:showPercent val="false"/>
          <c:showBubbleSize val="false"/>
        </c:dLbls>
        <c:gapWidth val="150"/>
        <c:axId val="94946096"/>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delete val="true"/>
            </c:dLbl>
            <c:dLbl>
              <c:idx val="10"/>
              <c:layout>
                <c:manualLayout>
                  <c:x val="-0.00148198814409485"/>
                  <c:y val="-0.0505197732099067"/>
                </c:manualLayout>
              </c:layout>
              <c:tx>
                <c:rich>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宋体" charset="-122"/>
                        <a:cs typeface="Times New Roman" charset="0"/>
                      </a:defRPr>
                    </a:pPr>
                    <a:r>
                      <a:rPr lang="zh-CN" altLang="en-US" sz="1050" b="1">
                        <a:solidFill>
                          <a:schemeClr val="accent2"/>
                        </a:solidFill>
                        <a:latin typeface="Times New Roman" charset="0"/>
                        <a:ea typeface="宋体" charset="-122"/>
                        <a:cs typeface="Times New Roman" charset="0"/>
                      </a:rPr>
                      <a:t>平均进度</a:t>
                    </a:r>
                    <a:r>
                      <a:rPr lang="en-US" altLang="zh-CN" sz="1050" b="1">
                        <a:solidFill>
                          <a:schemeClr val="accent2"/>
                        </a:solidFill>
                        <a:latin typeface="Times New Roman" charset="0"/>
                        <a:ea typeface="宋体" charset="-122"/>
                        <a:cs typeface="Times New Roman" charset="0"/>
                      </a:rPr>
                      <a:t>81.07%</a:t>
                    </a:r>
                    <a:endParaRPr lang="en-US" altLang="zh-CN" sz="1050" b="1">
                      <a:solidFill>
                        <a:schemeClr val="accent2"/>
                      </a:solidFill>
                      <a:latin typeface="Times New Roman" charset="0"/>
                      <a:ea typeface="宋体" charset="-122"/>
                      <a:cs typeface="Times New Roman"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宋体" charset="-122"/>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manualLayout>
                      <c:w val="0.20109439124487"/>
                      <c:h val="0.111911623439001"/>
                    </c:manualLayout>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灌溉设施!$A$2:$A$12</c:f>
              <c:strCache>
                <c:ptCount val="11"/>
                <c:pt idx="0">
                  <c:v>舟山市</c:v>
                </c:pt>
                <c:pt idx="1">
                  <c:v>丽水市</c:v>
                </c:pt>
                <c:pt idx="2">
                  <c:v>衢州市</c:v>
                </c:pt>
                <c:pt idx="3">
                  <c:v>金华市</c:v>
                </c:pt>
                <c:pt idx="4">
                  <c:v>嘉兴市</c:v>
                </c:pt>
                <c:pt idx="5">
                  <c:v>绍兴市</c:v>
                </c:pt>
                <c:pt idx="6">
                  <c:v>杭州市</c:v>
                </c:pt>
                <c:pt idx="7">
                  <c:v>温州市</c:v>
                </c:pt>
                <c:pt idx="8">
                  <c:v>台州市</c:v>
                </c:pt>
                <c:pt idx="9">
                  <c:v>宁波市</c:v>
                </c:pt>
                <c:pt idx="10">
                  <c:v>湖州市</c:v>
                </c:pt>
              </c:strCache>
            </c:strRef>
          </c:cat>
          <c:val>
            <c:numRef>
              <c:f>灌溉设施!$C$2:$C$12</c:f>
              <c:numCache>
                <c:formatCode>0.00%</c:formatCode>
                <c:ptCount val="11"/>
                <c:pt idx="0">
                  <c:v>0.8107</c:v>
                </c:pt>
                <c:pt idx="1">
                  <c:v>0.8107</c:v>
                </c:pt>
                <c:pt idx="2">
                  <c:v>0.8107</c:v>
                </c:pt>
                <c:pt idx="3">
                  <c:v>0.8107</c:v>
                </c:pt>
                <c:pt idx="4">
                  <c:v>0.8107</c:v>
                </c:pt>
                <c:pt idx="5">
                  <c:v>0.8107</c:v>
                </c:pt>
                <c:pt idx="6">
                  <c:v>0.8107</c:v>
                </c:pt>
                <c:pt idx="7">
                  <c:v>0.8107</c:v>
                </c:pt>
                <c:pt idx="8">
                  <c:v>0.8107</c:v>
                </c:pt>
                <c:pt idx="9">
                  <c:v>0.8107</c:v>
                </c:pt>
                <c:pt idx="10">
                  <c:v>0.8107</c:v>
                </c:pt>
              </c:numCache>
            </c:numRef>
          </c:val>
          <c:smooth val="false"/>
        </c:ser>
        <c:dLbls>
          <c:showLegendKey val="false"/>
          <c:showVal val="false"/>
          <c:showCatName val="false"/>
          <c:showSerName val="false"/>
          <c:showPercent val="false"/>
          <c:showBubbleSize val="false"/>
        </c:dLbls>
        <c:marker val="false"/>
        <c:smooth val="false"/>
        <c:axId val="94946096"/>
        <c:axId val="1"/>
      </c:lineChart>
      <c:catAx>
        <c:axId val="94946096"/>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94946096"/>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charset="0"/>
          <a:cs typeface="Times New Roman" charset="0"/>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charset="0"/>
              </a:defRPr>
            </a:pPr>
            <a:r>
              <a:rPr lang="zh-CN" sz="1400" b="0">
                <a:latin typeface="方正小标宋简体" panose="02000000000000000000" pitchFamily="4" charset="-122"/>
                <a:ea typeface="方正小标宋简体" panose="02000000000000000000" pitchFamily="4" charset="-122"/>
              </a:rPr>
              <a:t>改造农村供水管网分市进度</a:t>
            </a:r>
            <a:endParaRPr lang="zh-CN" sz="1400" b="0">
              <a:latin typeface="方正小标宋简体" panose="02000000000000000000" pitchFamily="4" charset="-122"/>
              <a:ea typeface="方正小标宋简体" panose="02000000000000000000" pitchFamily="4" charset="-122"/>
            </a:endParaRPr>
          </a:p>
        </c:rich>
      </c:tx>
      <c:layout>
        <c:manualLayout>
          <c:xMode val="edge"/>
          <c:yMode val="edge"/>
          <c:x val="0.302351876978743"/>
          <c:y val="0.0444606413994169"/>
        </c:manualLayout>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Pt>
            <c:idx val="9"/>
            <c:invertIfNegative val="false"/>
            <c:bubble3D val="false"/>
            <c:spPr>
              <a:gradFill>
                <a:gsLst>
                  <a:gs pos="0">
                    <a:srgbClr val="FECF40"/>
                  </a:gs>
                  <a:gs pos="100000">
                    <a:srgbClr val="846C21"/>
                  </a:gs>
                </a:gsLst>
                <a:lin ang="5400000" scaled="false"/>
              </a:gradFill>
              <a:ln w="25400">
                <a:noFill/>
              </a:ln>
            </c:spPr>
          </c:dPt>
          <c:dPt>
            <c:idx val="10"/>
            <c:invertIfNegative val="false"/>
            <c:bubble3D val="false"/>
            <c:spPr>
              <a:gradFill>
                <a:gsLst>
                  <a:gs pos="0">
                    <a:srgbClr val="FECF40"/>
                  </a:gs>
                  <a:gs pos="100000">
                    <a:srgbClr val="846C21"/>
                  </a:gs>
                </a:gsLst>
                <a:lin ang="5400000" scaled="false"/>
              </a:gradFill>
              <a:ln w="25400">
                <a:noFill/>
              </a:ln>
            </c:spPr>
          </c:dPt>
          <c:dLbls>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供水管网!$A$2:$A$12</c:f>
              <c:strCache>
                <c:ptCount val="11"/>
                <c:pt idx="0">
                  <c:v>台州市</c:v>
                </c:pt>
                <c:pt idx="1">
                  <c:v>丽水市</c:v>
                </c:pt>
                <c:pt idx="2">
                  <c:v>杭州市</c:v>
                </c:pt>
                <c:pt idx="3">
                  <c:v>湖州市</c:v>
                </c:pt>
                <c:pt idx="4">
                  <c:v>衢州市</c:v>
                </c:pt>
                <c:pt idx="5">
                  <c:v>金华市</c:v>
                </c:pt>
                <c:pt idx="6">
                  <c:v>绍兴市</c:v>
                </c:pt>
                <c:pt idx="7">
                  <c:v>宁波市</c:v>
                </c:pt>
                <c:pt idx="8">
                  <c:v>温州市</c:v>
                </c:pt>
                <c:pt idx="9">
                  <c:v>舟山市</c:v>
                </c:pt>
                <c:pt idx="10">
                  <c:v>嘉兴市</c:v>
                </c:pt>
              </c:strCache>
            </c:strRef>
          </c:cat>
          <c:val>
            <c:numRef>
              <c:f>供水管网!$B$2:$B$12</c:f>
              <c:numCache>
                <c:formatCode>0.00%</c:formatCode>
                <c:ptCount val="11"/>
                <c:pt idx="0">
                  <c:v>0.9419</c:v>
                </c:pt>
                <c:pt idx="1">
                  <c:v>0.911</c:v>
                </c:pt>
                <c:pt idx="2">
                  <c:v>0.8521</c:v>
                </c:pt>
                <c:pt idx="3">
                  <c:v>0.84</c:v>
                </c:pt>
                <c:pt idx="4">
                  <c:v>0.8375</c:v>
                </c:pt>
                <c:pt idx="5">
                  <c:v>0.8366</c:v>
                </c:pt>
                <c:pt idx="6">
                  <c:v>0.8222</c:v>
                </c:pt>
                <c:pt idx="7">
                  <c:v>0.6788</c:v>
                </c:pt>
                <c:pt idx="8">
                  <c:v>0.6611</c:v>
                </c:pt>
                <c:pt idx="9">
                  <c:v>0.5938</c:v>
                </c:pt>
                <c:pt idx="10">
                  <c:v>0.5625</c:v>
                </c:pt>
              </c:numCache>
            </c:numRef>
          </c:val>
        </c:ser>
        <c:dLbls>
          <c:showLegendKey val="false"/>
          <c:showVal val="false"/>
          <c:showCatName val="false"/>
          <c:showSerName val="false"/>
          <c:showPercent val="false"/>
          <c:showBubbleSize val="false"/>
        </c:dLbls>
        <c:gapWidth val="150"/>
        <c:axId val="94945264"/>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delete val="true"/>
            </c:dLbl>
            <c:dLbl>
              <c:idx val="10"/>
              <c:layout>
                <c:manualLayout>
                  <c:x val="-0.0622719734660034"/>
                  <c:y val="-0.0558818699619437"/>
                </c:manualLayout>
              </c:layout>
              <c:tx>
                <c:rich>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宋体" charset="-122"/>
                        <a:cs typeface="Times New Roman" charset="0"/>
                      </a:defRPr>
                    </a:pPr>
                    <a:r>
                      <a:rPr lang="zh-CN" altLang="en-US" sz="1050" b="1">
                        <a:solidFill>
                          <a:schemeClr val="accent2"/>
                        </a:solidFill>
                        <a:latin typeface="Times New Roman" charset="0"/>
                        <a:ea typeface="宋体" charset="-122"/>
                        <a:cs typeface="Times New Roman" charset="0"/>
                      </a:rPr>
                      <a:t>平均进度</a:t>
                    </a:r>
                    <a:r>
                      <a:rPr lang="en-US" altLang="zh-CN" sz="1050" b="1">
                        <a:solidFill>
                          <a:schemeClr val="accent2"/>
                        </a:solidFill>
                        <a:latin typeface="Times New Roman" charset="0"/>
                        <a:ea typeface="宋体" charset="-122"/>
                        <a:cs typeface="Times New Roman" charset="0"/>
                      </a:rPr>
                      <a:t>81.93%</a:t>
                    </a:r>
                    <a:endParaRPr lang="en-US" altLang="zh-CN" sz="1050" b="1">
                      <a:solidFill>
                        <a:schemeClr val="accent2"/>
                      </a:solidFill>
                      <a:latin typeface="Times New Roman" charset="0"/>
                      <a:ea typeface="宋体" charset="-122"/>
                      <a:cs typeface="Times New Roman"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宋体" charset="-122"/>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manualLayout>
                      <c:w val="0.199570330167345"/>
                      <c:h val="0.086977648202138"/>
                    </c:manualLayout>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供水管网!$A$2:$A$12</c:f>
              <c:strCache>
                <c:ptCount val="11"/>
                <c:pt idx="0">
                  <c:v>台州市</c:v>
                </c:pt>
                <c:pt idx="1">
                  <c:v>丽水市</c:v>
                </c:pt>
                <c:pt idx="2">
                  <c:v>杭州市</c:v>
                </c:pt>
                <c:pt idx="3">
                  <c:v>湖州市</c:v>
                </c:pt>
                <c:pt idx="4">
                  <c:v>衢州市</c:v>
                </c:pt>
                <c:pt idx="5">
                  <c:v>金华市</c:v>
                </c:pt>
                <c:pt idx="6">
                  <c:v>绍兴市</c:v>
                </c:pt>
                <c:pt idx="7">
                  <c:v>宁波市</c:v>
                </c:pt>
                <c:pt idx="8">
                  <c:v>温州市</c:v>
                </c:pt>
                <c:pt idx="9">
                  <c:v>舟山市</c:v>
                </c:pt>
                <c:pt idx="10">
                  <c:v>嘉兴市</c:v>
                </c:pt>
              </c:strCache>
            </c:strRef>
          </c:cat>
          <c:val>
            <c:numRef>
              <c:f>供水管网!$C$2:$C$12</c:f>
              <c:numCache>
                <c:formatCode>0.00%</c:formatCode>
                <c:ptCount val="11"/>
                <c:pt idx="0">
                  <c:v>0.8193</c:v>
                </c:pt>
                <c:pt idx="1">
                  <c:v>0.8193</c:v>
                </c:pt>
                <c:pt idx="2">
                  <c:v>0.8193</c:v>
                </c:pt>
                <c:pt idx="3">
                  <c:v>0.8193</c:v>
                </c:pt>
                <c:pt idx="4">
                  <c:v>0.8193</c:v>
                </c:pt>
                <c:pt idx="5">
                  <c:v>0.8193</c:v>
                </c:pt>
                <c:pt idx="6">
                  <c:v>0.8193</c:v>
                </c:pt>
                <c:pt idx="7">
                  <c:v>0.8193</c:v>
                </c:pt>
                <c:pt idx="8">
                  <c:v>0.8193</c:v>
                </c:pt>
                <c:pt idx="9">
                  <c:v>0.8193</c:v>
                </c:pt>
                <c:pt idx="10">
                  <c:v>0.8193</c:v>
                </c:pt>
              </c:numCache>
            </c:numRef>
          </c:val>
          <c:smooth val="false"/>
        </c:ser>
        <c:dLbls>
          <c:showLegendKey val="false"/>
          <c:showVal val="false"/>
          <c:showCatName val="false"/>
          <c:showSerName val="false"/>
          <c:showPercent val="false"/>
          <c:showBubbleSize val="false"/>
        </c:dLbls>
        <c:marker val="false"/>
        <c:smooth val="false"/>
        <c:axId val="94945264"/>
        <c:axId val="1"/>
      </c:lineChart>
      <c:catAx>
        <c:axId val="94945264"/>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94945264"/>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charset="0"/>
          <a:cs typeface="Times New Roman" charset="0"/>
        </a:defRPr>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charset="0"/>
              </a:defRPr>
            </a:pPr>
            <a:r>
              <a:rPr lang="zh-CN" sz="1400" b="0">
                <a:latin typeface="方正小标宋简体" panose="02000000000000000000" pitchFamily="4" charset="-122"/>
                <a:ea typeface="方正小标宋简体" panose="02000000000000000000" pitchFamily="4" charset="-122"/>
              </a:rPr>
              <a:t>中小河流综合治理分市进度</a:t>
            </a:r>
            <a:endParaRPr lang="zh-CN" sz="1400" b="0">
              <a:latin typeface="方正小标宋简体" panose="02000000000000000000" pitchFamily="4" charset="-122"/>
              <a:ea typeface="方正小标宋简体" panose="02000000000000000000" pitchFamily="4" charset="-122"/>
            </a:endParaRPr>
          </a:p>
        </c:rich>
      </c:tx>
      <c:layout>
        <c:manualLayout>
          <c:xMode val="edge"/>
          <c:yMode val="edge"/>
          <c:x val="0.302083333333333"/>
          <c:y val="0.042483660130719"/>
        </c:manualLayout>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Pt>
            <c:idx val="7"/>
            <c:invertIfNegative val="false"/>
            <c:bubble3D val="false"/>
            <c:spPr>
              <a:gradFill>
                <a:gsLst>
                  <a:gs pos="0">
                    <a:srgbClr val="FECF40"/>
                  </a:gs>
                  <a:gs pos="100000">
                    <a:srgbClr val="846C21"/>
                  </a:gs>
                </a:gsLst>
                <a:lin ang="5400000" scaled="false"/>
              </a:gradFill>
              <a:ln w="25400">
                <a:noFill/>
              </a:ln>
            </c:spPr>
          </c:dPt>
          <c:dPt>
            <c:idx val="8"/>
            <c:invertIfNegative val="false"/>
            <c:bubble3D val="false"/>
            <c:spPr>
              <a:gradFill>
                <a:gsLst>
                  <a:gs pos="0">
                    <a:srgbClr val="FECF40"/>
                  </a:gs>
                  <a:gs pos="100000">
                    <a:srgbClr val="846C21"/>
                  </a:gs>
                </a:gsLst>
                <a:lin ang="5400000" scaled="false"/>
              </a:gradFill>
              <a:ln w="25400">
                <a:noFill/>
              </a:ln>
            </c:spPr>
          </c:dPt>
          <c:dPt>
            <c:idx val="9"/>
            <c:invertIfNegative val="false"/>
            <c:bubble3D val="false"/>
            <c:spPr>
              <a:gradFill>
                <a:gsLst>
                  <a:gs pos="0">
                    <a:srgbClr val="FECF40"/>
                  </a:gs>
                  <a:gs pos="100000">
                    <a:srgbClr val="846C21"/>
                  </a:gs>
                </a:gsLst>
                <a:lin ang="5400000" scaled="false"/>
              </a:gradFill>
              <a:ln w="25400">
                <a:noFill/>
              </a:ln>
            </c:spPr>
          </c:dPt>
          <c:dPt>
            <c:idx val="10"/>
            <c:invertIfNegative val="false"/>
            <c:bubble3D val="false"/>
            <c:spPr>
              <a:gradFill>
                <a:gsLst>
                  <a:gs pos="0">
                    <a:srgbClr val="E30000"/>
                  </a:gs>
                  <a:gs pos="100000">
                    <a:srgbClr val="760303"/>
                  </a:gs>
                </a:gsLst>
                <a:lin ang="5400000" scaled="false"/>
              </a:gradFill>
              <a:ln w="25400">
                <a:noFill/>
              </a:ln>
            </c:spPr>
          </c:dPt>
          <c:dLbls>
            <c:dLbl>
              <c:idx val="6"/>
              <c:layout>
                <c:manualLayout>
                  <c:x val="0"/>
                  <c:y val="0.029717682020802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7"/>
              <c:layout>
                <c:manualLayout>
                  <c:x val="-1.0185067526416e-16"/>
                  <c:y val="0.00990589400693408"/>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河流治理!$A$2:$A$12</c:f>
              <c:strCache>
                <c:ptCount val="11"/>
                <c:pt idx="0">
                  <c:v>丽水市</c:v>
                </c:pt>
                <c:pt idx="1">
                  <c:v>台州市</c:v>
                </c:pt>
                <c:pt idx="2">
                  <c:v>宁波市</c:v>
                </c:pt>
                <c:pt idx="3">
                  <c:v>绍兴市</c:v>
                </c:pt>
                <c:pt idx="4">
                  <c:v>湖州市</c:v>
                </c:pt>
                <c:pt idx="5">
                  <c:v>衢州市</c:v>
                </c:pt>
                <c:pt idx="6">
                  <c:v>金华市</c:v>
                </c:pt>
                <c:pt idx="7">
                  <c:v>嘉兴市</c:v>
                </c:pt>
                <c:pt idx="8">
                  <c:v>舟山市</c:v>
                </c:pt>
                <c:pt idx="9">
                  <c:v>温州市</c:v>
                </c:pt>
                <c:pt idx="10">
                  <c:v>杭州市</c:v>
                </c:pt>
              </c:strCache>
            </c:strRef>
          </c:cat>
          <c:val>
            <c:numRef>
              <c:f>河流治理!$B$2:$B$12</c:f>
              <c:numCache>
                <c:formatCode>0.00%</c:formatCode>
                <c:ptCount val="11"/>
                <c:pt idx="0">
                  <c:v>0.78</c:v>
                </c:pt>
                <c:pt idx="1">
                  <c:v>0.7583</c:v>
                </c:pt>
                <c:pt idx="2">
                  <c:v>0.7405</c:v>
                </c:pt>
                <c:pt idx="3">
                  <c:v>0.7063</c:v>
                </c:pt>
                <c:pt idx="4">
                  <c:v>0.7063</c:v>
                </c:pt>
                <c:pt idx="5">
                  <c:v>0.7</c:v>
                </c:pt>
                <c:pt idx="6">
                  <c:v>0.63</c:v>
                </c:pt>
                <c:pt idx="7">
                  <c:v>0.5969</c:v>
                </c:pt>
                <c:pt idx="8">
                  <c:v>0.575</c:v>
                </c:pt>
                <c:pt idx="9">
                  <c:v>0.5688</c:v>
                </c:pt>
                <c:pt idx="10">
                  <c:v>0.4714</c:v>
                </c:pt>
              </c:numCache>
            </c:numRef>
          </c:val>
        </c:ser>
        <c:dLbls>
          <c:showLegendKey val="false"/>
          <c:showVal val="false"/>
          <c:showCatName val="false"/>
          <c:showSerName val="false"/>
          <c:showPercent val="false"/>
          <c:showBubbleSize val="false"/>
        </c:dLbls>
        <c:gapWidth val="150"/>
        <c:axId val="260268592"/>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delete val="true"/>
            </c:dLbl>
            <c:dLbl>
              <c:idx val="10"/>
              <c:layout>
                <c:manualLayout>
                  <c:x val="-0.0722222222222223"/>
                  <c:y val="-0.0386696462347853"/>
                </c:manualLayout>
              </c:layout>
              <c:tx>
                <c:rich>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宋体" charset="-122"/>
                        <a:cs typeface="Times New Roman" charset="0"/>
                      </a:defRPr>
                    </a:pPr>
                    <a:r>
                      <a:rPr lang="zh-CN" altLang="en-US" sz="1050" b="1">
                        <a:solidFill>
                          <a:schemeClr val="accent2"/>
                        </a:solidFill>
                        <a:latin typeface="Times New Roman" charset="0"/>
                        <a:ea typeface="宋体" charset="-122"/>
                        <a:cs typeface="Times New Roman" charset="0"/>
                      </a:rPr>
                      <a:t>平均进度</a:t>
                    </a:r>
                    <a:r>
                      <a:rPr lang="en-US" altLang="zh-CN" sz="1050" b="1">
                        <a:solidFill>
                          <a:schemeClr val="accent2"/>
                        </a:solidFill>
                        <a:latin typeface="Times New Roman" charset="0"/>
                        <a:ea typeface="宋体" charset="-122"/>
                        <a:cs typeface="Times New Roman" charset="0"/>
                      </a:rPr>
                      <a:t>67.23%</a:t>
                    </a:r>
                    <a:endParaRPr lang="en-US" altLang="zh-CN" sz="1050" b="1">
                      <a:solidFill>
                        <a:schemeClr val="accent2"/>
                      </a:solidFill>
                      <a:latin typeface="Times New Roman" charset="0"/>
                      <a:ea typeface="宋体" charset="-122"/>
                      <a:cs typeface="Times New Roman"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1050" b="1" i="0" u="none" strike="noStrike" kern="1200" baseline="0">
                      <a:solidFill>
                        <a:schemeClr val="accent2"/>
                      </a:solidFill>
                      <a:latin typeface="Times New Roman" charset="0"/>
                      <a:ea typeface="宋体" charset="-122"/>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manualLayout>
                      <c:w val="0.203125"/>
                      <c:h val="0.0968720821661998"/>
                    </c:manualLayout>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河流治理!$A$2:$A$12</c:f>
              <c:strCache>
                <c:ptCount val="11"/>
                <c:pt idx="0">
                  <c:v>丽水市</c:v>
                </c:pt>
                <c:pt idx="1">
                  <c:v>台州市</c:v>
                </c:pt>
                <c:pt idx="2">
                  <c:v>宁波市</c:v>
                </c:pt>
                <c:pt idx="3">
                  <c:v>绍兴市</c:v>
                </c:pt>
                <c:pt idx="4">
                  <c:v>湖州市</c:v>
                </c:pt>
                <c:pt idx="5">
                  <c:v>衢州市</c:v>
                </c:pt>
                <c:pt idx="6">
                  <c:v>金华市</c:v>
                </c:pt>
                <c:pt idx="7">
                  <c:v>嘉兴市</c:v>
                </c:pt>
                <c:pt idx="8">
                  <c:v>舟山市</c:v>
                </c:pt>
                <c:pt idx="9">
                  <c:v>温州市</c:v>
                </c:pt>
                <c:pt idx="10">
                  <c:v>杭州市</c:v>
                </c:pt>
              </c:strCache>
            </c:strRef>
          </c:cat>
          <c:val>
            <c:numRef>
              <c:f>河流治理!$C$2:$C$12</c:f>
              <c:numCache>
                <c:formatCode>0.00%</c:formatCode>
                <c:ptCount val="11"/>
                <c:pt idx="0">
                  <c:v>0.6723</c:v>
                </c:pt>
                <c:pt idx="1">
                  <c:v>0.6723</c:v>
                </c:pt>
                <c:pt idx="2">
                  <c:v>0.6723</c:v>
                </c:pt>
                <c:pt idx="3">
                  <c:v>0.6723</c:v>
                </c:pt>
                <c:pt idx="4">
                  <c:v>0.6723</c:v>
                </c:pt>
                <c:pt idx="5">
                  <c:v>0.6723</c:v>
                </c:pt>
                <c:pt idx="6">
                  <c:v>0.6723</c:v>
                </c:pt>
                <c:pt idx="7">
                  <c:v>0.6723</c:v>
                </c:pt>
                <c:pt idx="8">
                  <c:v>0.6723</c:v>
                </c:pt>
                <c:pt idx="9">
                  <c:v>0.6723</c:v>
                </c:pt>
                <c:pt idx="10">
                  <c:v>0.6723</c:v>
                </c:pt>
              </c:numCache>
            </c:numRef>
          </c:val>
          <c:smooth val="false"/>
        </c:ser>
        <c:dLbls>
          <c:showLegendKey val="false"/>
          <c:showVal val="false"/>
          <c:showCatName val="false"/>
          <c:showSerName val="false"/>
          <c:showPercent val="false"/>
          <c:showBubbleSize val="false"/>
        </c:dLbls>
        <c:marker val="false"/>
        <c:smooth val="false"/>
        <c:axId val="260268592"/>
        <c:axId val="1"/>
      </c:lineChart>
      <c:catAx>
        <c:axId val="260268592"/>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260268592"/>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charset="0"/>
          <a:cs typeface="Times New Roman" charset="0"/>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8</Pages>
  <Words>1802</Words>
  <Characters>1972</Characters>
  <Lines>13</Lines>
  <Paragraphs>3</Paragraphs>
  <TotalTime>11</TotalTime>
  <ScaleCrop>false</ScaleCrop>
  <LinksUpToDate>false</LinksUpToDate>
  <CharactersWithSpaces>2066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2022-03-15T09:12:00Z</dcterms:created>
  <dc:creator>Administrator</dc:creator>
  <cp:lastModifiedBy>ruijie</cp:lastModifiedBy>
  <cp:lastPrinted>2022-03-22T14:42:00Z</cp:lastPrinted>
  <dcterms:modified xsi:type="dcterms:W3CDTF">2022-05-09T15:08:07Z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woTemplateTypoMode" linkTarget="0">
    <vt:lpwstr>web</vt:lpwstr>
  </property>
  <property fmtid="{D5CDD505-2E9C-101B-9397-08002B2CF9AE}" pid="4" name="woTemplate" linkTarget="0">
    <vt:i4>1</vt:i4>
  </property>
</Properties>
</file>