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pStyle w:val="2"/>
        <w:rPr>
          <w:rFonts w:hint="eastAsia"/>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水利民生实事</w:t>
      </w:r>
      <w:r>
        <w:rPr>
          <w:rFonts w:hint="eastAsia" w:ascii="方正小标宋简体" w:hAnsi="方正小标宋简体" w:eastAsia="方正小标宋简体" w:cs="方正小标宋简体"/>
          <w:sz w:val="44"/>
          <w:szCs w:val="44"/>
          <w:lang w:val="en-US" w:eastAsia="zh-CN"/>
        </w:rPr>
        <w:t>5月</w:t>
      </w:r>
      <w:r>
        <w:rPr>
          <w:rFonts w:hint="eastAsia" w:ascii="方正小标宋简体" w:hAnsi="方正小标宋简体" w:eastAsia="方正小标宋简体" w:cs="方正小标宋简体"/>
          <w:sz w:val="44"/>
          <w:szCs w:val="44"/>
        </w:rPr>
        <w:t>工作进展</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（截至</w:t>
      </w:r>
      <w:r>
        <w:rPr>
          <w:rFonts w:hint="eastAsia" w:ascii="楷体_GB2312" w:hAnsi="楷体_GB2312" w:eastAsia="楷体_GB2312" w:cs="楷体_GB2312"/>
          <w:sz w:val="32"/>
          <w:szCs w:val="32"/>
        </w:rPr>
        <w:t>5月</w:t>
      </w:r>
      <w:r>
        <w:rPr>
          <w:rFonts w:hint="eastAsia" w:ascii="楷体_GB2312" w:hAnsi="楷体_GB2312" w:eastAsia="楷体_GB2312" w:cs="楷体_GB2312"/>
          <w:sz w:val="32"/>
          <w:szCs w:val="32"/>
          <w:lang w:val="en-US" w:eastAsia="zh-CN"/>
        </w:rPr>
        <w:t>31日</w:t>
      </w:r>
      <w:r>
        <w:rPr>
          <w:rFonts w:hint="eastAsia" w:ascii="楷体_GB2312" w:hAnsi="楷体_GB2312" w:eastAsia="楷体_GB2312" w:cs="楷体_GB2312"/>
          <w:sz w:val="32"/>
          <w:szCs w:val="32"/>
          <w:lang w:eastAsia="zh-CN"/>
        </w:rPr>
        <w:t>）</w:t>
      </w:r>
    </w:p>
    <w:p>
      <w:pPr>
        <w:pStyle w:val="2"/>
        <w:rPr>
          <w:rFonts w:hint="eastAsia"/>
          <w:lang w:val="en-US" w:eastAsia="zh-CN"/>
        </w:rPr>
      </w:pPr>
    </w:p>
    <w:p>
      <w:pPr>
        <w:spacing w:line="56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2022年1月17日，省政府工作报告将为民办实事作为高质量发展建设共同富裕示范区的重要内容，着眼解决群众</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急难愁盼</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，确定十方面民生实事。水利系统具体负责</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浙里平安</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民生实事，具体包括：新开工提标加固海塘240公里、完成病险水库除险加固200座、山塘整治450座、提升改造农业灌溉泵站机埠和堰坝水闸1500座、改造农村供水管网2800公里、完成中小河流综合治理500公里等6项水利建设任务。</w:t>
      </w:r>
    </w:p>
    <w:p>
      <w:pPr>
        <w:spacing w:line="560" w:lineRule="exact"/>
        <w:ind w:firstLine="640" w:firstLineChars="0"/>
        <w:jc w:val="left"/>
        <w:rPr>
          <w:rFonts w:hint="default" w:ascii="Times New Roman" w:hAnsi="Times New Roman" w:eastAsia="黑体" w:cs="Times New Roman"/>
          <w:b w:val="0"/>
          <w:bCs w:val="0"/>
          <w:sz w:val="32"/>
          <w:szCs w:val="40"/>
        </w:rPr>
      </w:pPr>
      <w:r>
        <w:rPr>
          <w:rFonts w:hint="default" w:ascii="Times New Roman" w:hAnsi="Times New Roman" w:eastAsia="黑体" w:cs="Times New Roman"/>
          <w:b w:val="0"/>
          <w:bCs w:val="0"/>
          <w:sz w:val="32"/>
          <w:szCs w:val="40"/>
          <w:lang w:eastAsia="zh-CN"/>
        </w:rPr>
        <w:t>一、</w:t>
      </w:r>
      <w:r>
        <w:rPr>
          <w:rFonts w:hint="default" w:ascii="Times New Roman" w:hAnsi="Times New Roman" w:eastAsia="黑体" w:cs="Times New Roman"/>
          <w:b w:val="0"/>
          <w:bCs w:val="0"/>
          <w:sz w:val="32"/>
          <w:szCs w:val="40"/>
        </w:rPr>
        <w:t>总体进展情况</w:t>
      </w:r>
    </w:p>
    <w:p>
      <w:pPr>
        <w:pStyle w:val="8"/>
        <w:spacing w:line="560" w:lineRule="exact"/>
        <w:ind w:left="0" w:leftChars="0"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w:t>
      </w:r>
      <w:r>
        <w:rPr>
          <w:rFonts w:hint="eastAsia" w:ascii="Times New Roman" w:hAnsi="Times New Roman" w:eastAsia="仿宋_GB2312"/>
          <w:sz w:val="32"/>
          <w:szCs w:val="32"/>
          <w:lang w:eastAsia="zh-CN" w:bidi="ar"/>
        </w:rPr>
        <w:t>“浙里平安”分解落实</w:t>
      </w:r>
      <w:r>
        <w:rPr>
          <w:rFonts w:hint="eastAsia" w:ascii="Times New Roman" w:hAnsi="Times New Roman" w:eastAsia="仿宋_GB2312"/>
          <w:sz w:val="32"/>
          <w:szCs w:val="32"/>
          <w:lang w:val="en-US" w:eastAsia="zh-CN" w:bidi="ar"/>
        </w:rPr>
        <w:t>2607个项目，</w:t>
      </w:r>
      <w:r>
        <w:rPr>
          <w:rFonts w:hint="eastAsia" w:ascii="Times New Roman" w:hAnsi="Times New Roman" w:eastAsia="仿宋_GB2312" w:cs="Times New Roman"/>
          <w:sz w:val="32"/>
          <w:szCs w:val="32"/>
        </w:rPr>
        <w:t>已开工项目</w:t>
      </w:r>
      <w:r>
        <w:rPr>
          <w:rFonts w:ascii="Times New Roman" w:hAnsi="Times New Roman" w:eastAsia="仿宋_GB2312" w:cs="Times New Roman"/>
          <w:sz w:val="32"/>
          <w:szCs w:val="32"/>
        </w:rPr>
        <w:t>2557</w:t>
      </w:r>
      <w:r>
        <w:rPr>
          <w:rFonts w:hint="eastAsia" w:ascii="Times New Roman" w:hAnsi="Times New Roman" w:eastAsia="仿宋_GB2312" w:cs="Times New Roman"/>
          <w:sz w:val="32"/>
          <w:szCs w:val="32"/>
        </w:rPr>
        <w:t>个，开工率</w:t>
      </w:r>
      <w:r>
        <w:rPr>
          <w:rFonts w:ascii="Times New Roman" w:hAnsi="Times New Roman" w:eastAsia="仿宋_GB2312" w:cs="Times New Roman"/>
          <w:sz w:val="32"/>
          <w:szCs w:val="32"/>
        </w:rPr>
        <w:t>98.12</w:t>
      </w:r>
      <w:r>
        <w:rPr>
          <w:rFonts w:hint="eastAsia" w:ascii="Times New Roman" w:hAnsi="Times New Roman" w:eastAsia="仿宋_GB2312" w:cs="Times New Roman"/>
          <w:sz w:val="32"/>
          <w:szCs w:val="32"/>
        </w:rPr>
        <w:t>%；完成</w:t>
      </w:r>
      <w:r>
        <w:rPr>
          <w:rFonts w:ascii="Times New Roman" w:hAnsi="Times New Roman" w:eastAsia="仿宋_GB2312" w:cs="Times New Roman"/>
          <w:sz w:val="32"/>
          <w:szCs w:val="32"/>
          <w:highlight w:val="none"/>
        </w:rPr>
        <w:t>9</w:t>
      </w:r>
      <w:r>
        <w:rPr>
          <w:rFonts w:hint="eastAsia" w:ascii="Times New Roman" w:hAnsi="Times New Roman" w:eastAsia="仿宋_GB2312" w:cs="Times New Roman"/>
          <w:sz w:val="32"/>
          <w:szCs w:val="32"/>
          <w:highlight w:val="none"/>
          <w:lang w:val="en-US" w:eastAsia="zh-CN"/>
        </w:rPr>
        <w:t>17</w:t>
      </w:r>
      <w:r>
        <w:rPr>
          <w:rFonts w:hint="eastAsia" w:ascii="Times New Roman" w:hAnsi="Times New Roman" w:eastAsia="仿宋_GB2312" w:cs="Times New Roman"/>
          <w:sz w:val="32"/>
          <w:szCs w:val="32"/>
          <w:highlight w:val="none"/>
        </w:rPr>
        <w:t>个</w:t>
      </w:r>
      <w:r>
        <w:rPr>
          <w:rFonts w:hint="eastAsia" w:ascii="Times New Roman" w:hAnsi="Times New Roman" w:eastAsia="仿宋_GB2312" w:cs="Times New Roman"/>
          <w:sz w:val="32"/>
          <w:szCs w:val="32"/>
        </w:rPr>
        <w:t>，较</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月底增加5</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个（含海塘1</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个开工项目），完</w:t>
      </w:r>
      <w:r>
        <w:rPr>
          <w:rFonts w:hint="eastAsia" w:ascii="Times New Roman" w:hAnsi="Times New Roman" w:eastAsia="仿宋_GB2312" w:cs="Times New Roman"/>
          <w:sz w:val="32"/>
          <w:szCs w:val="32"/>
          <w:lang w:eastAsia="zh-CN"/>
        </w:rPr>
        <w:t>工</w:t>
      </w:r>
      <w:r>
        <w:rPr>
          <w:rFonts w:hint="eastAsia" w:ascii="Times New Roman" w:hAnsi="Times New Roman" w:eastAsia="仿宋_GB2312" w:cs="Times New Roman"/>
          <w:sz w:val="32"/>
          <w:szCs w:val="32"/>
        </w:rPr>
        <w:t>率</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6项民生实事</w:t>
      </w:r>
      <w:r>
        <w:rPr>
          <w:rFonts w:hint="eastAsia" w:ascii="Times New Roman" w:hAnsi="Times New Roman" w:eastAsia="仿宋_GB2312" w:cs="Times New Roman"/>
          <w:sz w:val="32"/>
          <w:szCs w:val="32"/>
        </w:rPr>
        <w:t>总体平均进度</w:t>
      </w:r>
      <w:r>
        <w:rPr>
          <w:rFonts w:ascii="Times New Roman" w:hAnsi="Times New Roman" w:eastAsia="仿宋_GB2312" w:cs="Times New Roman"/>
          <w:sz w:val="32"/>
          <w:szCs w:val="32"/>
        </w:rPr>
        <w:t>88.</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（高于全省平均</w:t>
      </w:r>
      <w:r>
        <w:rPr>
          <w:rFonts w:hint="eastAsia" w:ascii="Times New Roman" w:hAnsi="Times New Roman" w:eastAsia="仿宋_GB2312" w:cs="Times New Roman"/>
          <w:sz w:val="32"/>
          <w:szCs w:val="32"/>
          <w:lang w:val="en-US" w:eastAsia="zh-CN"/>
        </w:rPr>
        <w:t>86.01%</w:t>
      </w:r>
      <w:r>
        <w:rPr>
          <w:rFonts w:hint="eastAsia" w:ascii="Times New Roman" w:hAnsi="Times New Roman" w:eastAsia="仿宋_GB2312" w:cs="Times New Roman"/>
          <w:sz w:val="32"/>
          <w:szCs w:val="32"/>
          <w:lang w:eastAsia="zh-CN"/>
        </w:rPr>
        <w:t>），在省级部门中排名第</w:t>
      </w:r>
      <w:r>
        <w:rPr>
          <w:rFonts w:hint="eastAsia" w:ascii="Times New Roman" w:hAnsi="Times New Roman" w:eastAsia="仿宋_GB2312" w:cs="Times New Roman"/>
          <w:sz w:val="32"/>
          <w:szCs w:val="32"/>
          <w:lang w:val="en-US" w:eastAsia="zh-CN"/>
        </w:rPr>
        <w:t>4、十方面民生实事排名第3；</w:t>
      </w:r>
      <w:r>
        <w:rPr>
          <w:rFonts w:hint="eastAsia" w:ascii="Times New Roman" w:hAnsi="Times New Roman" w:eastAsia="仿宋_GB2312" w:cs="Times New Roman"/>
          <w:sz w:val="32"/>
          <w:szCs w:val="32"/>
          <w:lang w:eastAsia="zh-CN"/>
        </w:rPr>
        <w:t>任务完成率</w:t>
      </w:r>
      <w:r>
        <w:rPr>
          <w:rFonts w:hint="eastAsia" w:ascii="Times New Roman" w:hAnsi="Times New Roman" w:eastAsia="仿宋_GB2312" w:cs="Times New Roman"/>
          <w:sz w:val="32"/>
          <w:szCs w:val="32"/>
          <w:lang w:val="en-US" w:eastAsia="zh-CN"/>
        </w:rPr>
        <w:t>22.19%（低于全省平均35.59%）。</w:t>
      </w:r>
    </w:p>
    <w:p>
      <w:pPr>
        <w:rPr>
          <w:rFonts w:hint="eastAsia" w:ascii="Times New Roman" w:hAnsi="Times New Roman" w:eastAsia="仿宋_GB2312" w:cs="Times New Roman"/>
          <w:sz w:val="32"/>
          <w:szCs w:val="32"/>
          <w:lang w:val="en-US" w:eastAsia="zh-CN"/>
        </w:rPr>
      </w:pP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pStyle w:val="8"/>
        <w:numPr>
          <w:ilvl w:val="-1"/>
          <w:numId w:val="0"/>
        </w:numPr>
        <w:spacing w:line="560" w:lineRule="exact"/>
        <w:ind w:left="0" w:leftChars="0" w:firstLine="642" w:firstLineChars="200"/>
        <w:rPr>
          <w:rFonts w:ascii="Times New Roman" w:hAnsi="Times New Roman" w:eastAsia="仿宋_GB2312" w:cs="Times New Roman"/>
          <w:b/>
          <w:bCs/>
          <w:sz w:val="32"/>
          <w:szCs w:val="32"/>
          <w:lang w:bidi="ar"/>
        </w:rPr>
      </w:pPr>
      <w:r>
        <w:rPr>
          <w:rFonts w:hint="eastAsia"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eastAsia="zh-CN"/>
        </w:rPr>
        <w:t>从实施进度看。</w:t>
      </w:r>
    </w:p>
    <w:p>
      <w:pPr>
        <w:pStyle w:val="8"/>
        <w:numPr>
          <w:ilvl w:val="0"/>
          <w:numId w:val="0"/>
        </w:numPr>
        <w:spacing w:line="56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分项看，提升改造灌溉设施、改造农村供水管网进度较快</w:t>
      </w:r>
      <w:r>
        <w:rPr>
          <w:rFonts w:hint="eastAsia" w:ascii="Times New Roman" w:hAnsi="Times New Roman" w:eastAsia="仿宋_GB2312" w:cs="Times New Roman"/>
          <w:sz w:val="32"/>
          <w:szCs w:val="32"/>
          <w:lang w:eastAsia="zh-CN"/>
        </w:rPr>
        <w:t>，已超过</w:t>
      </w:r>
      <w:r>
        <w:rPr>
          <w:rFonts w:hint="eastAsia" w:ascii="Times New Roman" w:hAnsi="Times New Roman" w:eastAsia="仿宋_GB2312" w:cs="Times New Roman"/>
          <w:sz w:val="32"/>
          <w:szCs w:val="32"/>
          <w:lang w:val="en-US" w:eastAsia="zh-CN"/>
        </w:rPr>
        <w:t>90%，提标加固海塘较慢</w:t>
      </w:r>
      <w:r>
        <w:rPr>
          <w:rFonts w:hint="eastAsia" w:ascii="Times New Roman" w:hAnsi="Times New Roman" w:eastAsia="仿宋_GB2312" w:cs="Times New Roman"/>
          <w:sz w:val="32"/>
          <w:szCs w:val="32"/>
        </w:rPr>
        <w:t>。</w:t>
      </w:r>
    </w:p>
    <w:p>
      <w:r>
        <w:drawing>
          <wp:inline distT="0" distB="0" distL="0" distR="0">
            <wp:extent cx="5688330" cy="2972435"/>
            <wp:effectExtent l="4445" t="4445" r="2222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numPr>
          <w:ilvl w:val="0"/>
          <w:numId w:val="0"/>
        </w:numPr>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分市看，</w:t>
      </w:r>
      <w:r>
        <w:rPr>
          <w:rFonts w:hint="eastAsia" w:ascii="Times New Roman" w:hAnsi="Times New Roman" w:eastAsia="仿宋_GB2312"/>
          <w:sz w:val="32"/>
          <w:szCs w:val="32"/>
        </w:rPr>
        <w:t>丽水</w:t>
      </w:r>
      <w:r>
        <w:rPr>
          <w:rFonts w:hint="eastAsia" w:ascii="Times New Roman" w:hAnsi="Times New Roman" w:eastAsia="仿宋_GB2312"/>
          <w:sz w:val="32"/>
          <w:szCs w:val="32"/>
          <w:lang w:eastAsia="zh-CN"/>
        </w:rPr>
        <w:t>、衢州、嘉兴、宁波</w:t>
      </w:r>
      <w:r>
        <w:rPr>
          <w:rFonts w:hint="eastAsia" w:ascii="Times New Roman" w:hAnsi="Times New Roman" w:eastAsia="仿宋_GB2312"/>
          <w:sz w:val="32"/>
          <w:szCs w:val="32"/>
        </w:rPr>
        <w:t>进度</w:t>
      </w:r>
      <w:r>
        <w:rPr>
          <w:rFonts w:hint="eastAsia" w:ascii="Times New Roman" w:hAnsi="Times New Roman" w:eastAsia="仿宋_GB2312"/>
          <w:sz w:val="32"/>
          <w:szCs w:val="32"/>
          <w:lang w:eastAsia="zh-CN"/>
        </w:rPr>
        <w:t>均已超过</w:t>
      </w:r>
      <w:r>
        <w:rPr>
          <w:rFonts w:hint="eastAsia" w:ascii="Times New Roman" w:hAnsi="Times New Roman" w:eastAsia="仿宋_GB2312"/>
          <w:sz w:val="32"/>
          <w:szCs w:val="32"/>
          <w:lang w:val="en-US" w:eastAsia="zh-CN"/>
        </w:rPr>
        <w:t>90%</w:t>
      </w:r>
      <w:r>
        <w:rPr>
          <w:rFonts w:hint="eastAsia" w:ascii="Times New Roman" w:hAnsi="Times New Roman" w:eastAsia="仿宋_GB2312"/>
          <w:sz w:val="32"/>
          <w:szCs w:val="32"/>
        </w:rPr>
        <w:t>，舟山相对滞后</w:t>
      </w:r>
      <w:r>
        <w:rPr>
          <w:rFonts w:hint="eastAsia" w:ascii="Times New Roman" w:hAnsi="Times New Roman" w:eastAsia="仿宋_GB2312"/>
          <w:sz w:val="32"/>
          <w:szCs w:val="32"/>
          <w:lang w:eastAsia="zh-CN"/>
        </w:rPr>
        <w:t>，进度不到</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w:t>
      </w:r>
    </w:p>
    <w:p>
      <w:pPr>
        <w:pStyle w:val="3"/>
        <w:jc w:val="left"/>
        <w:rPr>
          <w:rFonts w:hint="eastAsia" w:ascii="Times New Roman" w:hAnsi="Times New Roman" w:eastAsia="仿宋_GB2312"/>
          <w:sz w:val="32"/>
          <w:szCs w:val="32"/>
        </w:rPr>
      </w:pPr>
      <w:r>
        <w:drawing>
          <wp:inline distT="0" distB="0" distL="0" distR="0">
            <wp:extent cx="5631180" cy="2834640"/>
            <wp:effectExtent l="0" t="0" r="7620" b="381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ind w:firstLine="642" w:firstLineChars="200"/>
        <w:rPr>
          <w:rFonts w:ascii="Times New Roman" w:hAnsi="Times New Roman" w:eastAsia="仿宋_GB2312" w:cs="Times New Roman"/>
          <w:b/>
          <w:bCs/>
          <w:sz w:val="32"/>
          <w:szCs w:val="32"/>
          <w:highlight w:val="yellow"/>
        </w:rPr>
      </w:pPr>
      <w:r>
        <w:rPr>
          <w:rFonts w:hint="eastAsia" w:ascii="Times New Roman" w:hAnsi="Times New Roman" w:eastAsia="仿宋_GB2312" w:cs="Times New Roman"/>
          <w:b/>
          <w:bCs/>
          <w:sz w:val="32"/>
          <w:szCs w:val="32"/>
          <w:lang w:val="en-US" w:eastAsia="zh-CN"/>
        </w:rPr>
        <w:t xml:space="preserve">2. </w:t>
      </w:r>
      <w:r>
        <w:rPr>
          <w:rFonts w:hint="eastAsia" w:ascii="Times New Roman" w:hAnsi="Times New Roman" w:eastAsia="仿宋_GB2312" w:cs="Times New Roman"/>
          <w:b/>
          <w:bCs/>
          <w:sz w:val="32"/>
          <w:szCs w:val="32"/>
        </w:rPr>
        <w:t>从</w:t>
      </w:r>
      <w:r>
        <w:rPr>
          <w:rFonts w:hint="eastAsia" w:ascii="Times New Roman" w:hAnsi="Times New Roman" w:eastAsia="仿宋_GB2312" w:cs="Times New Roman"/>
          <w:b/>
          <w:bCs/>
          <w:sz w:val="32"/>
          <w:szCs w:val="32"/>
          <w:lang w:eastAsia="zh-CN"/>
        </w:rPr>
        <w:t>完成情况</w:t>
      </w:r>
      <w:r>
        <w:rPr>
          <w:rFonts w:hint="eastAsia" w:ascii="Times New Roman" w:hAnsi="Times New Roman" w:eastAsia="仿宋_GB2312" w:cs="Times New Roman"/>
          <w:b/>
          <w:bCs/>
          <w:sz w:val="32"/>
          <w:szCs w:val="32"/>
        </w:rPr>
        <w:t>看</w:t>
      </w:r>
      <w:r>
        <w:rPr>
          <w:rFonts w:hint="eastAsia" w:ascii="Times New Roman" w:hAnsi="Times New Roman" w:eastAsia="仿宋_GB2312" w:cs="Times New Roman"/>
          <w:b/>
          <w:bCs/>
          <w:sz w:val="32"/>
          <w:szCs w:val="32"/>
          <w:lang w:eastAsia="zh-CN"/>
        </w:rPr>
        <w:t>。</w:t>
      </w:r>
    </w:p>
    <w:p>
      <w:pPr>
        <w:pStyle w:val="8"/>
        <w:numPr>
          <w:ilvl w:val="0"/>
          <w:numId w:val="0"/>
        </w:numPr>
        <w:spacing w:line="56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）按项目个数</w:t>
      </w:r>
      <w:r>
        <w:rPr>
          <w:rFonts w:hint="eastAsia" w:ascii="Times New Roman" w:hAnsi="Times New Roman" w:eastAsia="仿宋_GB2312" w:cs="Times New Roman"/>
          <w:sz w:val="32"/>
          <w:szCs w:val="32"/>
        </w:rPr>
        <w:t>看，提升改造灌溉设施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改造农村供水管网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提标加固海塘</w:t>
      </w:r>
      <w:r>
        <w:rPr>
          <w:rFonts w:hint="eastAsia" w:ascii="Times New Roman" w:hAnsi="Times New Roman" w:eastAsia="仿宋_GB2312" w:cs="Times New Roman"/>
          <w:sz w:val="32"/>
          <w:szCs w:val="32"/>
          <w:lang w:eastAsia="zh-CN"/>
        </w:rPr>
        <w:t>完成相对</w:t>
      </w:r>
      <w:r>
        <w:rPr>
          <w:rFonts w:hint="eastAsia" w:ascii="Times New Roman" w:hAnsi="Times New Roman" w:eastAsia="仿宋_GB2312" w:cs="Times New Roman"/>
          <w:sz w:val="32"/>
          <w:szCs w:val="32"/>
        </w:rPr>
        <w:t>较快</w:t>
      </w:r>
      <w:r>
        <w:rPr>
          <w:rFonts w:hint="eastAsia" w:ascii="Times New Roman" w:hAnsi="Times New Roman" w:eastAsia="仿宋_GB2312" w:cs="Times New Roman"/>
          <w:sz w:val="32"/>
          <w:szCs w:val="32"/>
          <w:lang w:eastAsia="zh-CN"/>
        </w:rPr>
        <w:t>，已达到</w:t>
      </w:r>
      <w:r>
        <w:rPr>
          <w:rFonts w:hint="eastAsia" w:ascii="Times New Roman" w:hAnsi="Times New Roman" w:eastAsia="仿宋_GB2312" w:cs="Times New Roman"/>
          <w:sz w:val="32"/>
          <w:szCs w:val="32"/>
          <w:lang w:val="en-US" w:eastAsia="zh-CN"/>
        </w:rPr>
        <w:t>30%；中小河流整治、山塘整治完成较慢，均不到20%</w:t>
      </w:r>
      <w:r>
        <w:rPr>
          <w:rFonts w:hint="eastAsia" w:ascii="Times New Roman" w:hAnsi="Times New Roman" w:eastAsia="仿宋_GB2312" w:cs="Times New Roman"/>
          <w:sz w:val="32"/>
          <w:szCs w:val="32"/>
        </w:rPr>
        <w:t>。</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）按目标任务看，</w:t>
      </w:r>
      <w:r>
        <w:rPr>
          <w:rFonts w:hint="eastAsia" w:ascii="Times New Roman" w:hAnsi="Times New Roman" w:eastAsia="仿宋_GB2312" w:cs="Times New Roman"/>
          <w:sz w:val="32"/>
          <w:szCs w:val="32"/>
        </w:rPr>
        <w:t>提升改造灌溉设施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改造农村供水管网</w:t>
      </w:r>
      <w:r>
        <w:rPr>
          <w:rFonts w:hint="eastAsia" w:ascii="Times New Roman" w:hAnsi="Times New Roman" w:eastAsia="仿宋_GB2312" w:cs="Times New Roman"/>
          <w:sz w:val="32"/>
          <w:szCs w:val="32"/>
          <w:lang w:eastAsia="zh-CN"/>
        </w:rPr>
        <w:t>完成相对</w:t>
      </w:r>
      <w:r>
        <w:rPr>
          <w:rFonts w:hint="eastAsia" w:ascii="Times New Roman" w:hAnsi="Times New Roman" w:eastAsia="仿宋_GB2312" w:cs="Times New Roman"/>
          <w:sz w:val="32"/>
          <w:szCs w:val="32"/>
        </w:rPr>
        <w:t>较快</w:t>
      </w:r>
      <w:r>
        <w:rPr>
          <w:rFonts w:hint="eastAsia" w:ascii="Times New Roman" w:hAnsi="Times New Roman" w:eastAsia="仿宋_GB2312" w:cs="Times New Roman"/>
          <w:sz w:val="32"/>
          <w:szCs w:val="32"/>
          <w:lang w:eastAsia="zh-CN"/>
        </w:rPr>
        <w:t>，已达到</w:t>
      </w:r>
      <w:r>
        <w:rPr>
          <w:rFonts w:hint="eastAsia" w:ascii="Times New Roman" w:hAnsi="Times New Roman" w:eastAsia="仿宋_GB2312" w:cs="Times New Roman"/>
          <w:sz w:val="32"/>
          <w:szCs w:val="32"/>
          <w:lang w:val="en-US" w:eastAsia="zh-CN"/>
        </w:rPr>
        <w:t>30%；中小河流整治、山塘整治、新开工海塘完成较慢，均不到20%</w:t>
      </w:r>
      <w:r>
        <w:rPr>
          <w:rFonts w:hint="eastAsia" w:ascii="Times New Roman" w:hAnsi="Times New Roman" w:eastAsia="仿宋_GB2312" w:cs="Times New Roman"/>
          <w:sz w:val="32"/>
          <w:szCs w:val="32"/>
        </w:rPr>
        <w:t>。</w:t>
      </w:r>
    </w:p>
    <w:p>
      <w:pPr>
        <w:jc w:val="left"/>
        <w:rPr>
          <w:rFonts w:hint="eastAsia" w:ascii="Times New Roman" w:hAnsi="Times New Roman" w:eastAsia="仿宋_GB2312" w:cs="Times New Roman"/>
          <w:sz w:val="32"/>
          <w:szCs w:val="32"/>
          <w:lang w:eastAsia="zh-CN"/>
        </w:rPr>
      </w:pPr>
      <w:r>
        <w:drawing>
          <wp:inline distT="0" distB="0" distL="114300" distR="114300">
            <wp:extent cx="5650230" cy="2634615"/>
            <wp:effectExtent l="0" t="0" r="7620" b="13335"/>
            <wp:docPr id="13"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true"/>
                    </pic:cNvPicPr>
                  </pic:nvPicPr>
                  <pic:blipFill>
                    <a:blip r:embed="rId6"/>
                    <a:stretch>
                      <a:fillRect/>
                    </a:stretch>
                  </pic:blipFill>
                  <pic:spPr>
                    <a:xfrm>
                      <a:off x="0" y="0"/>
                      <a:ext cx="5650230" cy="2634615"/>
                    </a:xfrm>
                    <a:prstGeom prst="rect">
                      <a:avLst/>
                    </a:prstGeom>
                    <a:noFill/>
                    <a:ln>
                      <a:noFill/>
                    </a:ln>
                  </pic:spPr>
                </pic:pic>
              </a:graphicData>
            </a:graphic>
          </wp:inline>
        </w:drawing>
      </w:r>
    </w:p>
    <w:p>
      <w:pPr>
        <w:spacing w:line="560" w:lineRule="exact"/>
        <w:ind w:firstLine="640" w:firstLineChars="0"/>
        <w:jc w:val="left"/>
        <w:rPr>
          <w:rFonts w:hint="default" w:ascii="Times New Roman" w:hAnsi="Times New Roman" w:eastAsia="黑体" w:cs="Times New Roman"/>
          <w:b w:val="0"/>
          <w:bCs w:val="0"/>
          <w:sz w:val="32"/>
          <w:szCs w:val="40"/>
        </w:rPr>
      </w:pPr>
      <w:r>
        <w:rPr>
          <w:rFonts w:hint="default" w:ascii="Times New Roman" w:hAnsi="Times New Roman" w:eastAsia="黑体" w:cs="Times New Roman"/>
          <w:b w:val="0"/>
          <w:bCs w:val="0"/>
          <w:sz w:val="32"/>
          <w:szCs w:val="40"/>
          <w:lang w:eastAsia="zh-CN"/>
        </w:rPr>
        <w:t>二、</w:t>
      </w:r>
      <w:r>
        <w:rPr>
          <w:rFonts w:hint="default" w:ascii="Times New Roman" w:hAnsi="Times New Roman" w:eastAsia="黑体" w:cs="Times New Roman"/>
          <w:b w:val="0"/>
          <w:bCs w:val="0"/>
          <w:sz w:val="32"/>
          <w:szCs w:val="40"/>
        </w:rPr>
        <w:t>分项进展情况</w:t>
      </w:r>
    </w:p>
    <w:p>
      <w:pPr>
        <w:pStyle w:val="8"/>
        <w:spacing w:line="560" w:lineRule="exact"/>
        <w:ind w:left="0" w:leftChars="0"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b/>
          <w:sz w:val="32"/>
          <w:szCs w:val="32"/>
        </w:rPr>
        <w:t>新开工提标加固海塘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计划新开工</w:t>
      </w:r>
      <w:r>
        <w:rPr>
          <w:rFonts w:ascii="Times New Roman" w:hAnsi="Times New Roman" w:eastAsia="仿宋_GB2312" w:cs="Times New Roman"/>
          <w:sz w:val="32"/>
          <w:szCs w:val="32"/>
        </w:rPr>
        <w:t>240</w:t>
      </w:r>
      <w:r>
        <w:rPr>
          <w:rFonts w:hint="eastAsia" w:ascii="Times New Roman" w:hAnsi="Times New Roman" w:eastAsia="仿宋_GB2312" w:cs="Times New Roman"/>
          <w:sz w:val="32"/>
          <w:szCs w:val="32"/>
        </w:rPr>
        <w:t>公里，涉及</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个项目（5月份新增补</w:t>
      </w:r>
      <w:r>
        <w:rPr>
          <w:rFonts w:hint="eastAsia" w:ascii="Times New Roman" w:hAnsi="Times New Roman" w:eastAsia="仿宋_GB2312" w:cs="Times New Roman"/>
          <w:sz w:val="32"/>
          <w:szCs w:val="32"/>
          <w:highlight w:val="none"/>
        </w:rPr>
        <w:t>录</w:t>
      </w: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个项目），截至</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31</w:t>
      </w:r>
      <w:r>
        <w:rPr>
          <w:rFonts w:hint="eastAsia" w:ascii="Times New Roman" w:hAnsi="Times New Roman" w:eastAsia="仿宋_GB2312" w:cs="Times New Roman"/>
          <w:sz w:val="32"/>
          <w:szCs w:val="32"/>
          <w:highlight w:val="none"/>
        </w:rPr>
        <w:t>日已开工</w:t>
      </w:r>
      <w:r>
        <w:rPr>
          <w:rFonts w:ascii="Times New Roman" w:hAnsi="Times New Roman" w:eastAsia="仿宋_GB2312" w:cs="Times New Roman"/>
          <w:sz w:val="32"/>
          <w:szCs w:val="32"/>
          <w:highlight w:val="none"/>
        </w:rPr>
        <w:t>16</w:t>
      </w:r>
      <w:r>
        <w:rPr>
          <w:rFonts w:hint="eastAsia" w:ascii="Times New Roman" w:hAnsi="Times New Roman" w:eastAsia="仿宋_GB2312" w:cs="Times New Roman"/>
          <w:sz w:val="32"/>
          <w:szCs w:val="32"/>
          <w:highlight w:val="none"/>
        </w:rPr>
        <w:t>个，平均进度</w:t>
      </w:r>
      <w:r>
        <w:rPr>
          <w:rFonts w:ascii="Times New Roman" w:hAnsi="Times New Roman" w:eastAsia="仿宋_GB2312" w:cs="Times New Roman"/>
          <w:sz w:val="32"/>
          <w:szCs w:val="32"/>
          <w:highlight w:val="none"/>
        </w:rPr>
        <w:t>60.77</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rPr>
        <w:t>宁波、台州进度较快，嘉兴、杭州、绍兴、舟山滞后明显。</w:t>
      </w:r>
    </w:p>
    <w:p>
      <w:pPr>
        <w:jc w:val="center"/>
        <w:rPr>
          <w:rFonts w:ascii="Times New Roman" w:hAnsi="Times New Roman" w:eastAsia="仿宋_GB2312"/>
          <w:b/>
          <w:sz w:val="32"/>
          <w:szCs w:val="32"/>
        </w:rPr>
      </w:pPr>
      <w:r>
        <w:drawing>
          <wp:inline distT="0" distB="0" distL="0" distR="0">
            <wp:extent cx="5632450" cy="2647950"/>
            <wp:effectExtent l="0" t="0" r="63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8"/>
        <w:spacing w:line="560" w:lineRule="exact"/>
        <w:ind w:left="0" w:leftChars="0" w:firstLine="64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病险水库</w:t>
      </w:r>
      <w:r>
        <w:rPr>
          <w:rFonts w:hint="eastAsia" w:ascii="Times New Roman" w:hAnsi="Times New Roman" w:eastAsia="仿宋_GB2312" w:cs="Times New Roman"/>
          <w:b/>
          <w:sz w:val="32"/>
          <w:szCs w:val="32"/>
        </w:rPr>
        <w:t>除险</w:t>
      </w:r>
      <w:r>
        <w:rPr>
          <w:rFonts w:ascii="Times New Roman" w:hAnsi="Times New Roman" w:eastAsia="仿宋_GB2312" w:cs="Times New Roman"/>
          <w:b/>
          <w:sz w:val="32"/>
          <w:szCs w:val="32"/>
        </w:rPr>
        <w:t>加固</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计划完成200座，截至</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日已开工</w:t>
      </w:r>
      <w:r>
        <w:rPr>
          <w:rFonts w:ascii="Times New Roman" w:hAnsi="Times New Roman" w:eastAsia="仿宋_GB2312" w:cs="Times New Roman"/>
          <w:sz w:val="32"/>
          <w:szCs w:val="32"/>
        </w:rPr>
        <w:t>199</w:t>
      </w:r>
      <w:r>
        <w:rPr>
          <w:rFonts w:hint="eastAsia" w:ascii="Times New Roman" w:hAnsi="Times New Roman" w:eastAsia="仿宋_GB2312" w:cs="Times New Roman"/>
          <w:sz w:val="32"/>
          <w:szCs w:val="32"/>
        </w:rPr>
        <w:t>座、完工</w:t>
      </w:r>
      <w:r>
        <w:rPr>
          <w:rFonts w:ascii="Times New Roman" w:hAnsi="Times New Roman" w:eastAsia="仿宋_GB2312" w:cs="Times New Roman"/>
          <w:sz w:val="32"/>
          <w:szCs w:val="32"/>
        </w:rPr>
        <w:t>45</w:t>
      </w:r>
      <w:r>
        <w:rPr>
          <w:rFonts w:hint="eastAsia" w:ascii="Times New Roman" w:hAnsi="Times New Roman" w:eastAsia="仿宋_GB2312" w:cs="Times New Roman"/>
          <w:sz w:val="32"/>
          <w:szCs w:val="32"/>
        </w:rPr>
        <w:t>座，平均进度</w:t>
      </w:r>
      <w:r>
        <w:rPr>
          <w:rFonts w:ascii="Times New Roman" w:hAnsi="Times New Roman" w:eastAsia="仿宋_GB2312" w:cs="Times New Roman"/>
          <w:sz w:val="32"/>
          <w:szCs w:val="32"/>
        </w:rPr>
        <w:t>84.43</w:t>
      </w:r>
      <w:r>
        <w:rPr>
          <w:rFonts w:hint="eastAsia" w:ascii="Times New Roman" w:hAnsi="Times New Roman" w:eastAsia="仿宋_GB2312" w:cs="Times New Roman"/>
          <w:sz w:val="32"/>
          <w:szCs w:val="32"/>
        </w:rPr>
        <w:t>%，宁波、杭州、衢州、丽水进度较快，台州、温州、绍兴相对滞后。</w:t>
      </w:r>
      <w:r>
        <w:rPr>
          <w:rFonts w:hint="eastAsia" w:ascii="Times New Roman" w:hAnsi="Times New Roman" w:eastAsia="仿宋_GB2312" w:cs="Times New Roman"/>
          <w:sz w:val="32"/>
          <w:szCs w:val="32"/>
          <w:lang w:eastAsia="zh-CN"/>
        </w:rPr>
        <w:t>全省仅瑞安市</w:t>
      </w:r>
      <w:r>
        <w:rPr>
          <w:rFonts w:hint="eastAsia" w:ascii="Times New Roman" w:hAnsi="Times New Roman" w:eastAsia="仿宋_GB2312" w:cs="Times New Roman"/>
          <w:kern w:val="2"/>
          <w:sz w:val="32"/>
          <w:szCs w:val="32"/>
        </w:rPr>
        <w:t>泛浦水库</w:t>
      </w:r>
      <w:r>
        <w:rPr>
          <w:rFonts w:hint="eastAsia" w:ascii="Times New Roman" w:hAnsi="Times New Roman" w:eastAsia="仿宋_GB2312" w:cs="Times New Roman"/>
          <w:kern w:val="2"/>
          <w:sz w:val="32"/>
          <w:szCs w:val="32"/>
          <w:lang w:eastAsia="zh-CN"/>
        </w:rPr>
        <w:t>尚未开工建设。</w:t>
      </w:r>
    </w:p>
    <w:p>
      <w:r>
        <w:drawing>
          <wp:inline distT="0" distB="0" distL="0" distR="0">
            <wp:extent cx="5486400" cy="26670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8"/>
        <w:spacing w:line="560" w:lineRule="exact"/>
        <w:ind w:left="0" w:leftChars="0" w:firstLine="642" w:firstLineChars="200"/>
        <w:rPr>
          <w:rFonts w:ascii="Times New Roman" w:hAnsi="Times New Roman" w:eastAsia="仿宋_GB2312" w:cs="Times New Roman"/>
          <w:b/>
          <w:sz w:val="32"/>
          <w:szCs w:val="32"/>
          <w:lang w:bidi="ar"/>
        </w:rPr>
      </w:pP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山塘整治</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计划整治</w:t>
      </w:r>
      <w:r>
        <w:rPr>
          <w:rFonts w:ascii="Times New Roman" w:hAnsi="Times New Roman" w:eastAsia="仿宋_GB2312" w:cs="Times New Roman"/>
          <w:sz w:val="32"/>
          <w:szCs w:val="32"/>
        </w:rPr>
        <w:t>450</w:t>
      </w:r>
      <w:r>
        <w:rPr>
          <w:rFonts w:hint="eastAsia" w:ascii="Times New Roman" w:hAnsi="Times New Roman" w:eastAsia="仿宋_GB2312" w:cs="Times New Roman"/>
          <w:sz w:val="32"/>
          <w:szCs w:val="32"/>
        </w:rPr>
        <w:t>座，截至</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日已开工</w:t>
      </w:r>
      <w:r>
        <w:rPr>
          <w:rFonts w:ascii="Times New Roman" w:hAnsi="Times New Roman" w:eastAsia="仿宋_GB2312" w:cs="Times New Roman"/>
          <w:sz w:val="32"/>
          <w:szCs w:val="32"/>
        </w:rPr>
        <w:t>442</w:t>
      </w:r>
      <w:r>
        <w:rPr>
          <w:rFonts w:hint="eastAsia" w:ascii="Times New Roman" w:hAnsi="Times New Roman" w:eastAsia="仿宋_GB2312" w:cs="Times New Roman"/>
          <w:sz w:val="32"/>
          <w:szCs w:val="32"/>
        </w:rPr>
        <w:t>座，完工</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座，平均进度</w:t>
      </w:r>
      <w:r>
        <w:rPr>
          <w:rFonts w:ascii="Times New Roman" w:hAnsi="Times New Roman" w:eastAsia="仿宋_GB2312" w:cs="Times New Roman"/>
          <w:sz w:val="32"/>
          <w:szCs w:val="32"/>
        </w:rPr>
        <w:t>76.47</w:t>
      </w:r>
      <w:r>
        <w:rPr>
          <w:rFonts w:hint="eastAsia" w:ascii="Times New Roman" w:hAnsi="Times New Roman" w:eastAsia="仿宋_GB2312" w:cs="Times New Roman"/>
          <w:sz w:val="32"/>
          <w:szCs w:val="32"/>
        </w:rPr>
        <w:t>%。湖州、丽水进度较快，台州相对滞后。</w:t>
      </w:r>
    </w:p>
    <w:p>
      <w:pPr>
        <w:pStyle w:val="3"/>
        <w:jc w:val="center"/>
      </w:pPr>
      <w:r>
        <w:drawing>
          <wp:inline distT="0" distB="0" distL="0" distR="0">
            <wp:extent cx="5505450" cy="2679700"/>
            <wp:effectExtent l="0" t="0" r="0" b="63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8"/>
        <w:spacing w:line="560" w:lineRule="exact"/>
        <w:ind w:left="0" w:leftChars="0" w:firstLine="642"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提升改造农业灌溉泵站机埠和堰坝水闸</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计划提升改造项目</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座，截至</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日已全部开工，完工</w:t>
      </w:r>
      <w:r>
        <w:rPr>
          <w:rFonts w:ascii="Times New Roman" w:hAnsi="Times New Roman" w:eastAsia="仿宋_GB2312" w:cs="Times New Roman"/>
          <w:sz w:val="32"/>
          <w:szCs w:val="32"/>
        </w:rPr>
        <w:t>717</w:t>
      </w:r>
      <w:r>
        <w:rPr>
          <w:rFonts w:hint="eastAsia" w:ascii="Times New Roman" w:hAnsi="Times New Roman" w:eastAsia="仿宋_GB2312" w:cs="Times New Roman"/>
          <w:sz w:val="32"/>
          <w:szCs w:val="32"/>
        </w:rPr>
        <w:t>个，平均进度</w:t>
      </w:r>
      <w:r>
        <w:rPr>
          <w:rFonts w:ascii="Times New Roman" w:hAnsi="Times New Roman" w:eastAsia="仿宋_GB2312" w:cs="Times New Roman"/>
          <w:sz w:val="32"/>
          <w:szCs w:val="32"/>
        </w:rPr>
        <w:t>93.52%</w:t>
      </w:r>
      <w:r>
        <w:rPr>
          <w:rFonts w:hint="eastAsia" w:ascii="Times New Roman" w:hAnsi="Times New Roman" w:eastAsia="仿宋_GB2312" w:cs="Times New Roman"/>
          <w:sz w:val="32"/>
          <w:szCs w:val="32"/>
        </w:rPr>
        <w:t>。舟山已经</w:t>
      </w:r>
      <w:r>
        <w:rPr>
          <w:rFonts w:hint="default" w:ascii="Times New Roman" w:hAnsi="Times New Roman" w:eastAsia="仿宋_GB2312" w:cs="Times New Roman"/>
          <w:sz w:val="32"/>
          <w:szCs w:val="32"/>
        </w:rPr>
        <w:t>全面</w:t>
      </w:r>
      <w:r>
        <w:rPr>
          <w:rFonts w:hint="eastAsia" w:ascii="Times New Roman" w:hAnsi="Times New Roman" w:eastAsia="仿宋_GB2312" w:cs="Times New Roman"/>
          <w:sz w:val="32"/>
          <w:szCs w:val="32"/>
        </w:rPr>
        <w:t>完成，</w:t>
      </w:r>
      <w:r>
        <w:rPr>
          <w:rFonts w:hint="default" w:ascii="Times New Roman" w:hAnsi="Times New Roman" w:eastAsia="仿宋_GB2312" w:cs="Times New Roman"/>
          <w:sz w:val="32"/>
          <w:szCs w:val="32"/>
        </w:rPr>
        <w:t>衢州、丽水进展较快，</w:t>
      </w:r>
      <w:r>
        <w:rPr>
          <w:rFonts w:hint="eastAsia" w:ascii="Times New Roman" w:hAnsi="Times New Roman" w:eastAsia="仿宋_GB2312" w:cs="Times New Roman"/>
          <w:sz w:val="32"/>
          <w:szCs w:val="32"/>
        </w:rPr>
        <w:t>湖州进度相对滞后。</w:t>
      </w:r>
    </w:p>
    <w:p>
      <w:pPr>
        <w:pStyle w:val="3"/>
        <w:jc w:val="center"/>
        <w:rPr>
          <w:rFonts w:ascii="Times New Roman" w:hAnsi="Times New Roman" w:eastAsia="仿宋_GB2312"/>
          <w:sz w:val="32"/>
          <w:szCs w:val="32"/>
        </w:rPr>
      </w:pPr>
      <w:r>
        <w:drawing>
          <wp:inline distT="0" distB="0" distL="0" distR="0">
            <wp:extent cx="5532120" cy="2590800"/>
            <wp:effectExtent l="0" t="0" r="1143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8"/>
        <w:spacing w:line="560" w:lineRule="exact"/>
        <w:ind w:left="0" w:leftChars="0" w:firstLine="640" w:firstLineChars="200"/>
        <w:rPr>
          <w:rFonts w:ascii="Times New Roman" w:hAnsi="Times New Roman" w:eastAsia="仿宋_GB2312" w:cs="Times New Roman"/>
          <w:sz w:val="32"/>
          <w:szCs w:val="32"/>
          <w:lang w:bidi="ar"/>
        </w:rPr>
      </w:pPr>
      <w:r>
        <w:rPr>
          <w:rFonts w:ascii="黑体" w:hAnsi="黑体" w:eastAsia="黑体"/>
          <w:sz w:val="32"/>
          <w:szCs w:val="32"/>
        </w:rPr>
        <w:t>5</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改造农村供水管网</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计划改造管网</w:t>
      </w:r>
      <w:r>
        <w:rPr>
          <w:rFonts w:ascii="Times New Roman" w:hAnsi="Times New Roman" w:eastAsia="仿宋_GB2312" w:cs="Times New Roman"/>
          <w:sz w:val="32"/>
          <w:szCs w:val="32"/>
        </w:rPr>
        <w:t>2800</w:t>
      </w:r>
      <w:r>
        <w:rPr>
          <w:rFonts w:hint="eastAsia" w:ascii="Times New Roman" w:hAnsi="Times New Roman" w:eastAsia="仿宋_GB2312" w:cs="Times New Roman"/>
          <w:sz w:val="32"/>
          <w:szCs w:val="32"/>
        </w:rPr>
        <w:t>公里，涉及292个项目，截至</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日已全部开工，完工</w:t>
      </w:r>
      <w:r>
        <w:rPr>
          <w:rFonts w:hint="eastAsia" w:ascii="Times New Roman" w:hAnsi="Times New Roman" w:eastAsia="仿宋_GB2312" w:cs="Times New Roman"/>
          <w:sz w:val="32"/>
          <w:szCs w:val="32"/>
          <w:lang w:val="en-US" w:eastAsia="zh-CN"/>
        </w:rPr>
        <w:t>89</w:t>
      </w:r>
      <w:r>
        <w:rPr>
          <w:rFonts w:hint="eastAsia" w:ascii="Times New Roman" w:hAnsi="Times New Roman" w:eastAsia="仿宋_GB2312" w:cs="Times New Roman"/>
          <w:sz w:val="32"/>
          <w:szCs w:val="32"/>
        </w:rPr>
        <w:t>个，平均进</w:t>
      </w:r>
      <w:r>
        <w:rPr>
          <w:rFonts w:hint="default" w:ascii="Times New Roman" w:hAnsi="Times New Roman" w:eastAsia="仿宋_GB2312" w:cs="Times New Roman"/>
          <w:sz w:val="32"/>
          <w:szCs w:val="32"/>
        </w:rPr>
        <w:t>度</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1.30%</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台州、丽水进展较快，</w:t>
      </w:r>
      <w:r>
        <w:rPr>
          <w:rFonts w:hint="eastAsia" w:ascii="Times New Roman" w:hAnsi="Times New Roman" w:eastAsia="仿宋_GB2312" w:cs="Times New Roman"/>
          <w:sz w:val="32"/>
          <w:szCs w:val="32"/>
        </w:rPr>
        <w:t>嘉兴、舟山相对滞后。</w:t>
      </w:r>
    </w:p>
    <w:p>
      <w:pPr>
        <w:pStyle w:val="5"/>
        <w:jc w:val="center"/>
        <w:rPr>
          <w:rFonts w:ascii="Times New Roman" w:hAnsi="Times New Roman" w:eastAsia="仿宋_GB2312"/>
          <w:sz w:val="32"/>
          <w:szCs w:val="32"/>
        </w:rPr>
      </w:pPr>
      <w:r>
        <w:drawing>
          <wp:inline distT="0" distB="0" distL="0" distR="0">
            <wp:extent cx="5572760" cy="2529840"/>
            <wp:effectExtent l="0" t="0" r="8890" b="381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5"/>
        <w:spacing w:line="56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6.</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中小河流综合治理</w:t>
      </w:r>
      <w:r>
        <w:rPr>
          <w:rFonts w:hint="eastAsia" w:ascii="Times New Roman" w:hAnsi="Times New Roman" w:eastAsia="仿宋_GB2312"/>
          <w:b/>
          <w:bCs/>
          <w:sz w:val="32"/>
          <w:szCs w:val="32"/>
        </w:rPr>
        <w:t>。</w:t>
      </w:r>
      <w:r>
        <w:rPr>
          <w:rFonts w:hint="eastAsia" w:ascii="Times New Roman" w:hAnsi="Times New Roman" w:eastAsia="仿宋_GB2312"/>
          <w:sz w:val="32"/>
          <w:szCs w:val="32"/>
        </w:rPr>
        <w:t>计划完成治理任务</w:t>
      </w:r>
      <w:r>
        <w:rPr>
          <w:rFonts w:ascii="Times New Roman" w:hAnsi="Times New Roman" w:eastAsia="仿宋_GB2312"/>
          <w:sz w:val="32"/>
          <w:szCs w:val="32"/>
        </w:rPr>
        <w:t>500</w:t>
      </w:r>
      <w:r>
        <w:rPr>
          <w:rFonts w:hint="eastAsia" w:ascii="Times New Roman" w:hAnsi="Times New Roman" w:eastAsia="仿宋_GB2312"/>
          <w:sz w:val="32"/>
          <w:szCs w:val="32"/>
        </w:rPr>
        <w:t>公里，涉及1</w:t>
      </w:r>
      <w:r>
        <w:rPr>
          <w:rFonts w:ascii="Times New Roman" w:hAnsi="Times New Roman" w:eastAsia="仿宋_GB2312"/>
          <w:sz w:val="32"/>
          <w:szCs w:val="32"/>
        </w:rPr>
        <w:t>12</w:t>
      </w:r>
      <w:r>
        <w:rPr>
          <w:rFonts w:hint="eastAsia" w:ascii="Times New Roman" w:hAnsi="Times New Roman" w:eastAsia="仿宋_GB2312"/>
          <w:sz w:val="32"/>
          <w:szCs w:val="32"/>
        </w:rPr>
        <w:t>个项目，截至</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日已开工</w:t>
      </w:r>
      <w:r>
        <w:rPr>
          <w:rFonts w:ascii="Times New Roman" w:hAnsi="Times New Roman" w:eastAsia="仿宋_GB2312"/>
          <w:sz w:val="32"/>
          <w:szCs w:val="32"/>
        </w:rPr>
        <w:t>108</w:t>
      </w:r>
      <w:r>
        <w:rPr>
          <w:rFonts w:hint="eastAsia" w:ascii="Times New Roman" w:hAnsi="Times New Roman" w:eastAsia="仿宋_GB2312"/>
          <w:sz w:val="32"/>
          <w:szCs w:val="32"/>
        </w:rPr>
        <w:t>个，平均进度</w:t>
      </w:r>
      <w:r>
        <w:rPr>
          <w:rFonts w:ascii="Times New Roman" w:hAnsi="Times New Roman" w:eastAsia="仿宋_GB2312"/>
          <w:sz w:val="32"/>
          <w:szCs w:val="32"/>
        </w:rPr>
        <w:t>75.71%</w:t>
      </w:r>
      <w:r>
        <w:rPr>
          <w:rFonts w:hint="eastAsia" w:ascii="Times New Roman" w:hAnsi="Times New Roman" w:eastAsia="仿宋_GB2312"/>
          <w:sz w:val="32"/>
          <w:szCs w:val="32"/>
        </w:rPr>
        <w:t>，宁波进度最快，杭州、舟山、嘉兴相对滞后。</w:t>
      </w:r>
    </w:p>
    <w:p>
      <w:pPr>
        <w:pStyle w:val="5"/>
        <w:rPr>
          <w:lang w:bidi="ar"/>
        </w:rPr>
      </w:pPr>
      <w:r>
        <w:drawing>
          <wp:inline distT="0" distB="0" distL="0" distR="0">
            <wp:extent cx="5648960" cy="2514600"/>
            <wp:effectExtent l="0" t="0" r="889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br w:type="page"/>
      </w:r>
    </w:p>
    <w:p>
      <w:pPr>
        <w:spacing w:line="560" w:lineRule="exact"/>
        <w:ind w:firstLine="640"/>
        <w:rPr>
          <w:rFonts w:hint="eastAsia" w:ascii="仿宋_GB2312" w:hAnsi="仿宋_GB2312" w:eastAsia="仿宋_GB2312" w:cs="仿宋_GB2312"/>
          <w:sz w:val="32"/>
          <w:szCs w:val="32"/>
        </w:rPr>
      </w:pPr>
    </w:p>
    <w:p>
      <w:pPr>
        <w:numPr>
          <w:ilvl w:val="-1"/>
          <w:numId w:val="0"/>
        </w:numPr>
        <w:spacing w:line="560" w:lineRule="exact"/>
        <w:ind w:firstLine="640" w:firstLineChars="0"/>
        <w:jc w:val="left"/>
        <w:rPr>
          <w:rFonts w:hint="default" w:ascii="Times New Roman" w:hAnsi="Times New Roman" w:eastAsia="黑体" w:cs="Times New Roman"/>
          <w:b w:val="0"/>
          <w:bCs w:val="0"/>
          <w:sz w:val="32"/>
          <w:szCs w:val="40"/>
          <w:lang w:eastAsia="zh-CN"/>
        </w:rPr>
      </w:pPr>
      <w:r>
        <w:rPr>
          <w:rFonts w:hint="eastAsia" w:ascii="Times New Roman" w:hAnsi="Times New Roman" w:eastAsia="黑体" w:cs="Times New Roman"/>
          <w:b w:val="0"/>
          <w:bCs w:val="0"/>
          <w:sz w:val="32"/>
          <w:szCs w:val="40"/>
          <w:lang w:eastAsia="zh-CN"/>
        </w:rPr>
        <w:t>三、</w:t>
      </w:r>
      <w:r>
        <w:rPr>
          <w:rFonts w:hint="default" w:ascii="Times New Roman" w:hAnsi="Times New Roman" w:eastAsia="黑体" w:cs="Times New Roman"/>
          <w:b w:val="0"/>
          <w:bCs w:val="0"/>
          <w:sz w:val="32"/>
          <w:szCs w:val="40"/>
          <w:lang w:eastAsia="zh-CN"/>
        </w:rPr>
        <w:t>工作动态</w:t>
      </w:r>
    </w:p>
    <w:p>
      <w:pPr>
        <w:pStyle w:val="2"/>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5月26日，</w:t>
      </w:r>
      <w:r>
        <w:rPr>
          <w:rFonts w:hint="eastAsia" w:ascii="Times New Roman" w:hAnsi="Times New Roman" w:eastAsia="仿宋_GB2312" w:cs="Times New Roman"/>
          <w:sz w:val="32"/>
          <w:szCs w:val="32"/>
          <w:lang w:eastAsia="zh-CN"/>
        </w:rPr>
        <w:t>省水利厅办公室印发《关于开展水利民生实事等有关工作督导服务的通知》，部署开展水利民生实事等“三服务”督导服务活动。</w:t>
      </w:r>
    </w:p>
    <w:p>
      <w:pPr>
        <w:pStyle w:val="2"/>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5月7日，衢州市市委书记高屹到衢江区调研水利民生实事项目芝溪流域综合治理二期工程。舟山市、温州市、丽水市政府召开民生实事工作推进会。</w:t>
      </w:r>
    </w:p>
    <w:p>
      <w:pPr>
        <w:pStyle w:val="2"/>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杭州市林业水利局会同市政府督查室对全市水利民生实事项目推进情况开展现场督查。温州市纪委第三监督检查室赴温州市水利局研讨海塘安澜工程执纪监督工作。宁波市、嘉兴市、金华市、衢州市、舟山市水利局组织开展水利民生实事监督检查。</w:t>
      </w:r>
    </w:p>
    <w:p>
      <w:pPr>
        <w:pStyle w:val="2"/>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、衢江区、龙游县、开化县、常山县、江山市、永康市、苍南县、龙港市等地党委、政府、人大领导相继开展水利民生实事项目检查指导工作。</w:t>
      </w:r>
    </w:p>
    <w:p>
      <w:pPr>
        <w:pStyle w:val="2"/>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５、杭州市林水局联合市发改委、市财政局、市农业农村局对临安区、建德市提升改造农业灌溉泵站机埠、堰坝水闸项目进行市级复验。台州市水利局开展农业灌溉设施更新升级第一批项目复验。湖</w:t>
      </w:r>
      <w:bookmarkStart w:id="0" w:name="_GoBack"/>
      <w:bookmarkEnd w:id="0"/>
      <w:r>
        <w:rPr>
          <w:rFonts w:hint="eastAsia" w:ascii="Times New Roman" w:hAnsi="Times New Roman" w:eastAsia="仿宋_GB2312" w:cs="Times New Roman"/>
          <w:sz w:val="32"/>
          <w:szCs w:val="32"/>
          <w:lang w:eastAsia="zh-CN"/>
        </w:rPr>
        <w:t>州市水利局召开农业灌溉工程提升改造项目验收工作现场推进会，并对已完工的灌溉机埠项目开展现场验收。</w:t>
      </w:r>
    </w:p>
    <w:p>
      <w:pPr>
        <w:pStyle w:val="2"/>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kern w:val="2"/>
          <w:sz w:val="32"/>
          <w:szCs w:val="32"/>
          <w:lang w:val="en-US" w:eastAsia="zh-CN" w:bidi="ar-SA"/>
        </w:rPr>
        <w:t>6、厅工作专班会同处室组织对“提升改造泵站机埠、堰坝水闸”、“改造供水管网”、“中小河流治理”等3项进行专项核查，并下发《关于进一步加强水利民生实事进度核查工作的通知》，要求进一步加大进度复核力度，杜绝虚报超报。</w:t>
      </w:r>
      <w:r>
        <w:rPr>
          <w:rFonts w:hint="eastAsia" w:ascii="Times New Roman" w:hAnsi="Times New Roman" w:eastAsia="仿宋_GB2312" w:cs="Times New Roman"/>
          <w:sz w:val="32"/>
          <w:szCs w:val="32"/>
          <w:lang w:eastAsia="zh-CN"/>
        </w:rPr>
        <w:br w:type="textWrapping"/>
      </w:r>
      <w:r>
        <w:rPr>
          <w:rFonts w:hint="eastAsia" w:ascii="Times New Roman" w:hAnsi="Times New Roman" w:eastAsia="仿宋_GB2312" w:cs="Times New Roman"/>
          <w:sz w:val="32"/>
          <w:szCs w:val="32"/>
          <w:lang w:val="en-US" w:eastAsia="zh-CN"/>
        </w:rPr>
        <w:t xml:space="preserve">   </w:t>
      </w:r>
    </w:p>
    <w:p>
      <w:pPr>
        <w:pStyle w:val="2"/>
        <w:rPr>
          <w:rFonts w:hint="eastAsia" w:ascii="Times New Roman" w:hAnsi="Times New Roman" w:eastAsia="仿宋_GB2312" w:cs="Times New Roman"/>
          <w:sz w:val="32"/>
          <w:szCs w:val="32"/>
          <w:lang w:eastAsia="zh-CN"/>
        </w:rPr>
      </w:pPr>
    </w:p>
    <w:p>
      <w:pPr>
        <w:pStyle w:val="2"/>
        <w:rPr>
          <w:rFonts w:hint="eastAsia"/>
          <w:lang w:eastAsia="zh-CN"/>
        </w:rPr>
      </w:pPr>
    </w:p>
    <w:p>
      <w:pPr>
        <w:numPr>
          <w:ilvl w:val="-1"/>
          <w:numId w:val="0"/>
        </w:numPr>
        <w:spacing w:line="240" w:lineRule="auto"/>
        <w:ind w:firstLine="0" w:firstLineChars="0"/>
        <w:rPr>
          <w:rFonts w:hint="eastAsia" w:ascii="楷体_GB2312" w:hAnsi="楷体_GB2312" w:eastAsia="楷体_GB2312" w:cs="楷体_GB2312"/>
          <w:b/>
          <w:bCs/>
          <w:sz w:val="32"/>
          <w:szCs w:val="32"/>
          <w:lang w:eastAsia="zh-CN"/>
        </w:rPr>
      </w:pPr>
    </w:p>
    <w:sectPr>
      <w:pgSz w:w="11906" w:h="16838"/>
      <w:pgMar w:top="2154" w:right="1502" w:bottom="1984" w:left="1502" w:header="851" w:footer="992" w:gutter="0"/>
      <w:pgBorders>
        <w:top w:val="none" w:sz="0" w:space="0"/>
        <w:left w:val="none" w:sz="0" w:space="0"/>
        <w:bottom w:val="none" w:sz="0" w:space="0"/>
        <w:right w:val="none" w:sz="0" w:space="0"/>
      </w:pgBorders>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方正书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trackRevisions w:val="true"/>
  <w:documentProtection w:enforcement="0"/>
  <w:defaultTabStop w:val="420"/>
  <w:drawingGridHorizontalSpacing w:val="105"/>
  <w:drawingGridVerticalSpacing w:val="317"/>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A5"/>
    <w:rsid w:val="000454CB"/>
    <w:rsid w:val="000B0D84"/>
    <w:rsid w:val="00171F0B"/>
    <w:rsid w:val="00183762"/>
    <w:rsid w:val="001842A5"/>
    <w:rsid w:val="001B5AE4"/>
    <w:rsid w:val="00324572"/>
    <w:rsid w:val="003B5FFA"/>
    <w:rsid w:val="003F1C6A"/>
    <w:rsid w:val="004230CD"/>
    <w:rsid w:val="004964A0"/>
    <w:rsid w:val="004B1D56"/>
    <w:rsid w:val="004B74B1"/>
    <w:rsid w:val="00506F21"/>
    <w:rsid w:val="00580838"/>
    <w:rsid w:val="005B7D22"/>
    <w:rsid w:val="006566AB"/>
    <w:rsid w:val="0066386F"/>
    <w:rsid w:val="006A5D4E"/>
    <w:rsid w:val="00704F69"/>
    <w:rsid w:val="00723CE1"/>
    <w:rsid w:val="00726750"/>
    <w:rsid w:val="00745FA3"/>
    <w:rsid w:val="00753774"/>
    <w:rsid w:val="0079715B"/>
    <w:rsid w:val="007B0169"/>
    <w:rsid w:val="007D6FFB"/>
    <w:rsid w:val="008557C2"/>
    <w:rsid w:val="008D2272"/>
    <w:rsid w:val="00916C91"/>
    <w:rsid w:val="009400D1"/>
    <w:rsid w:val="009F2692"/>
    <w:rsid w:val="00A02C7D"/>
    <w:rsid w:val="00A46A39"/>
    <w:rsid w:val="00AB7CAB"/>
    <w:rsid w:val="00B46C46"/>
    <w:rsid w:val="00B4779A"/>
    <w:rsid w:val="00C0638D"/>
    <w:rsid w:val="00C201A8"/>
    <w:rsid w:val="00D007C9"/>
    <w:rsid w:val="00DA01CA"/>
    <w:rsid w:val="00DA4726"/>
    <w:rsid w:val="00DC7F30"/>
    <w:rsid w:val="00E54BCC"/>
    <w:rsid w:val="00E572C6"/>
    <w:rsid w:val="00E85BC3"/>
    <w:rsid w:val="00EC397E"/>
    <w:rsid w:val="00EF2F7C"/>
    <w:rsid w:val="00F171D0"/>
    <w:rsid w:val="00FF0E5F"/>
    <w:rsid w:val="00FF64CC"/>
    <w:rsid w:val="178FA03E"/>
    <w:rsid w:val="1CE6CC6F"/>
    <w:rsid w:val="1D2E18B0"/>
    <w:rsid w:val="1F7D652B"/>
    <w:rsid w:val="1FEE0992"/>
    <w:rsid w:val="25ADC7CD"/>
    <w:rsid w:val="2FBF91D4"/>
    <w:rsid w:val="3BBEB9C4"/>
    <w:rsid w:val="3BBF6EF4"/>
    <w:rsid w:val="3BFDEAF1"/>
    <w:rsid w:val="3E6FCD28"/>
    <w:rsid w:val="3F4F19D1"/>
    <w:rsid w:val="4CF78BF8"/>
    <w:rsid w:val="4CFE221A"/>
    <w:rsid w:val="4DDD6DE9"/>
    <w:rsid w:val="55DB8DFC"/>
    <w:rsid w:val="5BCB789D"/>
    <w:rsid w:val="5BF7ABB8"/>
    <w:rsid w:val="5F8FEBF1"/>
    <w:rsid w:val="5FF71F40"/>
    <w:rsid w:val="63FFF1D5"/>
    <w:rsid w:val="67FE41B3"/>
    <w:rsid w:val="697FAA3A"/>
    <w:rsid w:val="6BFFD01B"/>
    <w:rsid w:val="6FFB4A0A"/>
    <w:rsid w:val="73BBF5DE"/>
    <w:rsid w:val="73F3124F"/>
    <w:rsid w:val="73FE333F"/>
    <w:rsid w:val="759F7A82"/>
    <w:rsid w:val="75F59731"/>
    <w:rsid w:val="77D79F8F"/>
    <w:rsid w:val="77E3C1A3"/>
    <w:rsid w:val="77FBC774"/>
    <w:rsid w:val="77FD05DB"/>
    <w:rsid w:val="7BF952DD"/>
    <w:rsid w:val="7BFF4532"/>
    <w:rsid w:val="7CFFDC51"/>
    <w:rsid w:val="7D7F5987"/>
    <w:rsid w:val="7DF7F8BA"/>
    <w:rsid w:val="7EBBF85D"/>
    <w:rsid w:val="7EDB18FC"/>
    <w:rsid w:val="7EDBF18B"/>
    <w:rsid w:val="7EDC43F3"/>
    <w:rsid w:val="7F14D6D8"/>
    <w:rsid w:val="7F4F806C"/>
    <w:rsid w:val="7FA201DA"/>
    <w:rsid w:val="7FE5F934"/>
    <w:rsid w:val="7FFAD25E"/>
    <w:rsid w:val="7FFD5D2B"/>
    <w:rsid w:val="9EFDE03F"/>
    <w:rsid w:val="9FDB93B7"/>
    <w:rsid w:val="A5FD6BB9"/>
    <w:rsid w:val="B3DFA014"/>
    <w:rsid w:val="BAD76E00"/>
    <w:rsid w:val="BC7F6D6F"/>
    <w:rsid w:val="BCF64205"/>
    <w:rsid w:val="CDF7F680"/>
    <w:rsid w:val="D1FF2D51"/>
    <w:rsid w:val="D6BFDAA8"/>
    <w:rsid w:val="DFBF0848"/>
    <w:rsid w:val="DFBF165E"/>
    <w:rsid w:val="E3AB6BDD"/>
    <w:rsid w:val="E3F706AB"/>
    <w:rsid w:val="EAFD52BD"/>
    <w:rsid w:val="EFDD2AAC"/>
    <w:rsid w:val="EFED1804"/>
    <w:rsid w:val="F5DFBE03"/>
    <w:rsid w:val="F62E9310"/>
    <w:rsid w:val="F6FD3AF9"/>
    <w:rsid w:val="F77A17CF"/>
    <w:rsid w:val="F7EBE16E"/>
    <w:rsid w:val="F7EDCFC3"/>
    <w:rsid w:val="F9F7F783"/>
    <w:rsid w:val="FB5E1E83"/>
    <w:rsid w:val="FBBBE5DF"/>
    <w:rsid w:val="FBDB4071"/>
    <w:rsid w:val="FCFB4304"/>
    <w:rsid w:val="FCFDF3AC"/>
    <w:rsid w:val="FDFFF514"/>
    <w:rsid w:val="FEAB284B"/>
    <w:rsid w:val="FEBFCFFB"/>
    <w:rsid w:val="FFBEF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link w:val="12"/>
    <w:semiHidden/>
    <w:unhideWhenUsed/>
    <w:qFormat/>
    <w:uiPriority w:val="99"/>
    <w:pPr>
      <w:spacing w:after="120"/>
    </w:pPr>
  </w:style>
  <w:style w:type="paragraph" w:styleId="4">
    <w:name w:val="Plain Text"/>
    <w:basedOn w:val="1"/>
    <w:qFormat/>
    <w:uiPriority w:val="0"/>
    <w:rPr>
      <w:rFonts w:ascii="宋体" w:hAnsi="Courier New" w:cs="Courier New"/>
      <w:szCs w:val="21"/>
    </w:rPr>
  </w:style>
  <w:style w:type="paragraph" w:styleId="5">
    <w:name w:val="Balloon Text"/>
    <w:basedOn w:val="1"/>
    <w:link w:val="13"/>
    <w:unhideWhenUsed/>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unhideWhenUsed/>
    <w:qFormat/>
    <w:uiPriority w:val="99"/>
    <w:pPr>
      <w:ind w:left="200" w:leftChars="200" w:hanging="200" w:hangingChars="200"/>
    </w:pPr>
    <w:rPr>
      <w:rFonts w:ascii="Calibri" w:hAnsi="Calibri" w:eastAsia="宋体" w:cs="宋体"/>
    </w:rPr>
  </w:style>
  <w:style w:type="paragraph" w:styleId="11">
    <w:name w:val="List Paragraph"/>
    <w:basedOn w:val="1"/>
    <w:qFormat/>
    <w:uiPriority w:val="34"/>
    <w:pPr>
      <w:ind w:firstLine="420" w:firstLineChars="200"/>
    </w:pPr>
  </w:style>
  <w:style w:type="character" w:customStyle="1" w:styleId="12">
    <w:name w:val="正文文本 字符"/>
    <w:basedOn w:val="10"/>
    <w:link w:val="3"/>
    <w:semiHidden/>
    <w:qFormat/>
    <w:uiPriority w:val="99"/>
  </w:style>
  <w:style w:type="character" w:customStyle="1" w:styleId="13">
    <w:name w:val="批注框文本 字符"/>
    <w:basedOn w:val="10"/>
    <w:link w:val="5"/>
    <w:qFormat/>
    <w:uiPriority w:val="0"/>
    <w:rPr>
      <w:sz w:val="18"/>
      <w:szCs w:val="18"/>
    </w:rPr>
  </w:style>
  <w:style w:type="character" w:customStyle="1" w:styleId="14">
    <w:name w:val="font01"/>
    <w:basedOn w:val="10"/>
    <w:qFormat/>
    <w:uiPriority w:val="0"/>
    <w:rPr>
      <w:rFonts w:ascii="方正书宋_GBK" w:hAnsi="方正书宋_GBK" w:eastAsia="方正书宋_GBK" w:cs="方正书宋_GBK"/>
      <w:color w:val="000000"/>
      <w:sz w:val="22"/>
      <w:szCs w:val="22"/>
      <w:u w:val="none"/>
    </w:rPr>
  </w:style>
  <w:style w:type="character" w:customStyle="1" w:styleId="15">
    <w:name w:val="font21"/>
    <w:basedOn w:val="10"/>
    <w:qFormat/>
    <w:uiPriority w:val="0"/>
    <w:rPr>
      <w:rFonts w:hint="eastAsia" w:ascii="宋体" w:hAnsi="宋体" w:eastAsia="宋体" w:cs="宋体"/>
      <w:color w:val="000000"/>
      <w:sz w:val="22"/>
      <w:szCs w:val="22"/>
      <w:u w:val="none"/>
    </w:rPr>
  </w:style>
  <w:style w:type="character" w:customStyle="1" w:styleId="16">
    <w:name w:val="页眉 字符"/>
    <w:basedOn w:val="10"/>
    <w:link w:val="7"/>
    <w:qFormat/>
    <w:uiPriority w:val="99"/>
    <w:rPr>
      <w:rFonts w:asciiTheme="minorHAnsi" w:hAnsiTheme="minorHAnsi" w:eastAsiaTheme="minorEastAsia" w:cstheme="minorBidi"/>
      <w:kern w:val="2"/>
      <w:sz w:val="18"/>
      <w:szCs w:val="18"/>
    </w:rPr>
  </w:style>
  <w:style w:type="character" w:customStyle="1" w:styleId="17">
    <w:name w:val="页脚 字符"/>
    <w:basedOn w:val="10"/>
    <w:link w:val="6"/>
    <w:qFormat/>
    <w:uiPriority w:val="99"/>
    <w:rPr>
      <w:rFonts w:asciiTheme="minorHAnsi" w:hAnsiTheme="minorHAnsi" w:eastAsiaTheme="minorEastAsia" w:cstheme="minorBidi"/>
      <w:kern w:val="2"/>
      <w:sz w:val="18"/>
      <w:szCs w:val="18"/>
    </w:rPr>
  </w:style>
  <w:style w:type="character" w:customStyle="1" w:styleId="18">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fey2\Desktop\5&#26376;31&#26085;&#36827;&#23637;\&#27700;&#21033;&#27665;&#29983;&#23454;&#20107;&#36827;&#24230;&#32479;&#35745;&#65288;&#25130;&#33267;5&#26376;31&#26085;&#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000" b="0" i="0" u="none" strike="noStrike" kern="1200" cap="none" spc="0" baseline="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cs typeface="+mn-cs"/>
              </a:defRPr>
            </a:pPr>
            <a:r>
              <a:rPr lang="zh-CN" altLang="zh-CN" sz="1000" b="0" i="0" cap="none" spc="0" baseline="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rPr>
              <a:t>水利民生实事分类型进度</a:t>
            </a:r>
            <a:endParaRPr lang="zh-CN" altLang="zh-CN" sz="1000" b="0" cap="none" spc="0">
              <a:ln w="0"/>
              <a:solidFill>
                <a:schemeClr val="tx1"/>
              </a:solidFill>
              <a:effectLst>
                <a:outerShdw blurRad="38100" dist="19050" dir="2700000" algn="tl" rotWithShape="0">
                  <a:schemeClr val="dk1">
                    <a:alpha val="40000"/>
                  </a:schemeClr>
                </a:outerShdw>
              </a:effectLst>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分类型进度</c:f>
              <c:strCache>
                <c:ptCount val="1"/>
                <c:pt idx="0">
                  <c:v>分类型进度</c:v>
                </c:pt>
              </c:strCache>
            </c:strRef>
          </c:tx>
          <c:spPr>
            <a:solidFill>
              <a:srgbClr val="5B9BD5"/>
            </a:solidFill>
            <a:ln w="25400">
              <a:noFill/>
            </a:ln>
          </c:spPr>
          <c:invertIfNegative val="false"/>
          <c:dLbls>
            <c:dLbl>
              <c:idx val="3"/>
              <c:layout>
                <c:manualLayout>
                  <c:x val="0"/>
                  <c:y val="0.0078710555917352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1.09329932152031e-7"/>
                  <c:y val="0.0138439843408788"/>
                </c:manualLayout>
              </c:layout>
              <c:numFmt formatCode="General" sourceLinked="true"/>
              <c:spPr>
                <a:noFill/>
                <a:ln w="25400">
                  <a:noFill/>
                </a:ln>
                <a:effectLst/>
              </c:spPr>
              <c:txPr>
                <a:bodyPr rot="0" spcFirstLastPara="1" vertOverflow="ellipsis" vert="horz" wrap="square" lIns="38100" tIns="19050" rIns="38100" bIns="19050" anchor="ctr" anchorCtr="true">
                  <a:noAutofit/>
                </a:bodyPr>
                <a:lstStyle/>
                <a:p>
                  <a:pPr>
                    <a:defRPr lang="zh-CN" sz="800" b="0" i="0" u="none" strike="noStrike" kern="1200" baseline="0">
                      <a:solidFill>
                        <a:schemeClr val="tx1">
                          <a:lumMod val="75000"/>
                          <a:lumOff val="25000"/>
                        </a:schemeClr>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
                  <c:y val="0.018458403551571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1" vertOverflow="ellipsis" vert="horz" wrap="square" lIns="38100" tIns="19050" rIns="38100" bIns="19050" anchor="ctr" anchorCtr="true">
                <a:spAutoFit/>
              </a:bodyPr>
              <a:lstStyle/>
              <a:p>
                <a:pPr>
                  <a:defRPr lang="zh-CN" sz="800" b="0" i="0" u="none" strike="noStrike" kern="1200" baseline="0">
                    <a:solidFill>
                      <a:schemeClr val="tx1">
                        <a:lumMod val="75000"/>
                        <a:lumOff val="25000"/>
                      </a:schemeClr>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各项总体进展!$A$2:$A$7</c:f>
              <c:strCache>
                <c:ptCount val="6"/>
                <c:pt idx="0">
                  <c:v>提升改造灌溉设施</c:v>
                </c:pt>
                <c:pt idx="1">
                  <c:v>改造供水管网</c:v>
                </c:pt>
                <c:pt idx="2">
                  <c:v>水库除险加固</c:v>
                </c:pt>
                <c:pt idx="3">
                  <c:v>病险山塘整治</c:v>
                </c:pt>
                <c:pt idx="4">
                  <c:v>中小河流治理</c:v>
                </c:pt>
                <c:pt idx="5">
                  <c:v>提标加固海塘</c:v>
                </c:pt>
              </c:strCache>
            </c:strRef>
          </c:cat>
          <c:val>
            <c:numRef>
              <c:f>各项总体进展!$B$2:$B$7</c:f>
              <c:numCache>
                <c:formatCode>0.00%</c:formatCode>
                <c:ptCount val="6"/>
                <c:pt idx="0">
                  <c:v>0.9352</c:v>
                </c:pt>
                <c:pt idx="1">
                  <c:v>0.913</c:v>
                </c:pt>
                <c:pt idx="2">
                  <c:v>0.8443</c:v>
                </c:pt>
                <c:pt idx="3">
                  <c:v>0.7647</c:v>
                </c:pt>
                <c:pt idx="4">
                  <c:v>0.7571</c:v>
                </c:pt>
                <c:pt idx="5">
                  <c:v>0.6077</c:v>
                </c:pt>
              </c:numCache>
            </c:numRef>
          </c:val>
        </c:ser>
        <c:dLbls>
          <c:showLegendKey val="false"/>
          <c:showVal val="false"/>
          <c:showCatName val="false"/>
          <c:showSerName val="false"/>
          <c:showPercent val="false"/>
          <c:showBubbleSize val="false"/>
        </c:dLbls>
        <c:gapWidth val="150"/>
        <c:axId val="94947344"/>
        <c:axId val="1"/>
      </c:barChart>
      <c:lineChart>
        <c:grouping val="standard"/>
        <c:varyColors val="false"/>
        <c:ser>
          <c:idx val="1"/>
          <c:order val="1"/>
          <c:tx>
            <c:strRef>
              <c:f>总体平均进度</c:f>
              <c:strCache>
                <c:ptCount val="1"/>
                <c:pt idx="0">
                  <c:v>总体平均进度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layout>
                <c:manualLayout>
                  <c:x val="-0.0788219439994717"/>
                  <c:y val="-0.0336603130009062"/>
                </c:manualLayout>
              </c:layout>
              <c:tx>
                <c:rich>
                  <a:bodyPr rot="0" spcFirstLastPara="1" vertOverflow="ellipsis" vert="horz" wrap="square" lIns="38100" tIns="19050" rIns="38100" bIns="19050" anchor="ctr" anchorCtr="true">
                    <a:noAutofit/>
                  </a:bodyPr>
                  <a:lstStyle/>
                  <a:p>
                    <a:pPr>
                      <a:defRPr lang="zh-CN" sz="1050" b="1" i="0" u="none" strike="noStrike" kern="1200" baseline="0">
                        <a:solidFill>
                          <a:schemeClr val="accent2"/>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总体平均进度</a:t>
                    </a:r>
                    <a:r>
                      <a:rPr lang="en-US" altLang="zh-CN" sz="1050" b="1">
                        <a:solidFill>
                          <a:schemeClr val="accent2"/>
                        </a:solidFill>
                        <a:latin typeface="Times New Roman" charset="0"/>
                        <a:ea typeface="宋体" charset="-122"/>
                        <a:cs typeface="Times New Roman" charset="0"/>
                      </a:rPr>
                      <a:t>88.21%</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1" vertOverflow="ellipsis" vert="horz" wrap="square" lIns="38100" tIns="19050" rIns="38100" bIns="19050" anchor="ctr" anchorCtr="true">
                  <a:noAutofit/>
                </a:bodyPr>
                <a:lstStyle/>
                <a:p>
                  <a:pPr>
                    <a:defRPr lang="zh-CN" sz="1050" b="1"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63168896778135"/>
                      <c:h val="0.0668565166717439"/>
                    </c:manualLayout>
                  </c15:layout>
                </c:ext>
              </c:extLst>
            </c:dLbl>
            <c:spPr>
              <a:noFill/>
              <a:ln w="25400">
                <a:noFill/>
              </a:ln>
              <a:effectLst/>
            </c:spPr>
            <c:txPr>
              <a:bodyPr rot="0" spcFirstLastPara="1" vertOverflow="ellipsis" vert="horz" wrap="square" lIns="38100" tIns="19050" rIns="38100" bIns="19050" anchor="ctr" anchorCtr="true">
                <a:spAutoFit/>
              </a:bodyPr>
              <a:lstStyle/>
              <a:p>
                <a:pPr>
                  <a:defRPr lang="zh-CN" sz="1050" b="1"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各项总体进展!$A$2:$A$7</c:f>
              <c:strCache>
                <c:ptCount val="6"/>
                <c:pt idx="0">
                  <c:v>提升改造灌溉设施</c:v>
                </c:pt>
                <c:pt idx="1">
                  <c:v>改造供水管网</c:v>
                </c:pt>
                <c:pt idx="2">
                  <c:v>水库除险加固</c:v>
                </c:pt>
                <c:pt idx="3">
                  <c:v>病险山塘整治</c:v>
                </c:pt>
                <c:pt idx="4">
                  <c:v>中小河流治理</c:v>
                </c:pt>
                <c:pt idx="5">
                  <c:v>提标加固海塘</c:v>
                </c:pt>
              </c:strCache>
            </c:strRef>
          </c:cat>
          <c:val>
            <c:numRef>
              <c:f>各项总体进展!$C$2:$C$7</c:f>
              <c:numCache>
                <c:formatCode>0.00%</c:formatCode>
                <c:ptCount val="6"/>
                <c:pt idx="0">
                  <c:v>0.882105372217959</c:v>
                </c:pt>
                <c:pt idx="1">
                  <c:v>0.882105372217959</c:v>
                </c:pt>
                <c:pt idx="2">
                  <c:v>0.882105372217959</c:v>
                </c:pt>
                <c:pt idx="3">
                  <c:v>0.882105372217959</c:v>
                </c:pt>
                <c:pt idx="4">
                  <c:v>0.882105372217959</c:v>
                </c:pt>
                <c:pt idx="5">
                  <c:v>0.882105372217959</c:v>
                </c:pt>
              </c:numCache>
            </c:numRef>
          </c:val>
          <c:smooth val="false"/>
        </c:ser>
        <c:dLbls>
          <c:showLegendKey val="false"/>
          <c:showVal val="false"/>
          <c:showCatName val="false"/>
          <c:showSerName val="false"/>
          <c:showPercent val="false"/>
          <c:showBubbleSize val="false"/>
        </c:dLbls>
        <c:marker val="false"/>
        <c:smooth val="false"/>
        <c:axId val="94947344"/>
        <c:axId val="1"/>
      </c:lineChart>
      <c:catAx>
        <c:axId val="9494734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1" vertOverflow="ellipsis" vert="horz" wrap="square" anchor="ctr" anchorCtr="true"/>
          <a:lstStyle/>
          <a:p>
            <a:pPr>
              <a:defRPr lang="zh-CN" sz="800" b="0" i="0" u="none" strike="noStrike" kern="1200" baseline="0">
                <a:solidFill>
                  <a:schemeClr val="tx1">
                    <a:lumMod val="65000"/>
                    <a:lumOff val="35000"/>
                  </a:schemeClr>
                </a:solidFill>
                <a:latin typeface="Times New Roman" charset="0"/>
                <a:ea typeface="+mn-ea"/>
                <a:cs typeface="Times New Roman" charset="0"/>
              </a:defRPr>
            </a:pPr>
          </a:p>
        </c:txPr>
        <c:crossAx val="94947344"/>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zh-CN" sz="1000" b="0" cap="none" spc="0">
                <a:ln w="0"/>
                <a:solidFill>
                  <a:schemeClr val="tx1"/>
                </a:solidFill>
                <a:effectLst>
                  <a:outerShdw blurRad="38100" dist="19050" dir="2700000" algn="tl" rotWithShape="0">
                    <a:schemeClr val="dk1">
                      <a:alpha val="40000"/>
                    </a:schemeClr>
                  </a:outerShdw>
                </a:effectLst>
              </a:rPr>
              <a:t>水利民生实事分市进度</a:t>
            </a:r>
            <a:endParaRPr lang="zh-CN" sz="1000" b="0" cap="none" spc="0">
              <a:ln w="0"/>
              <a:solidFill>
                <a:schemeClr val="tx1"/>
              </a:solidFill>
              <a:effectLst>
                <a:outerShdw blurRad="38100" dist="19050" dir="2700000" algn="tl" rotWithShape="0">
                  <a:schemeClr val="dk1">
                    <a:alpha val="40000"/>
                  </a:schemeClr>
                </a:outerShdw>
              </a:effectLst>
            </a:endParaRPr>
          </a:p>
        </c:rich>
      </c:tx>
      <c:layout/>
      <c:overlay val="false"/>
      <c:spPr>
        <a:noFill/>
        <a:ln w="25400">
          <a:noFill/>
        </a:ln>
      </c:spPr>
    </c:title>
    <c:autoTitleDeleted val="false"/>
    <c:plotArea>
      <c:layout/>
      <c:barChart>
        <c:barDir val="col"/>
        <c:grouping val="clustered"/>
        <c:varyColors val="false"/>
        <c:ser>
          <c:idx val="0"/>
          <c:order val="0"/>
          <c:tx>
            <c:strRef>
              <c:f>分时进度</c:f>
              <c:strCache>
                <c:ptCount val="1"/>
                <c:pt idx="0">
                  <c:v>分时进度</c:v>
                </c:pt>
              </c:strCache>
            </c:strRef>
          </c:tx>
          <c:spPr>
            <a:solidFill>
              <a:srgbClr val="5B9BD5"/>
            </a:solidFill>
            <a:ln w="25400">
              <a:noFill/>
            </a:ln>
          </c:spPr>
          <c:invertIfNegative val="false"/>
          <c:dLbls>
            <c:dLbl>
              <c:idx val="6"/>
              <c:layout>
                <c:manualLayout>
                  <c:x val="0"/>
                  <c:y val="-0.0046535914183377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1.0185067526416e-16"/>
                  <c:y val="-0.0089389720518236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
                  <c:y val="0.018614365673350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1.0185067526416e-16"/>
                  <c:y val="0.024003988868494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layout>
                <c:manualLayout>
                  <c:x val="0"/>
                  <c:y val="0.019816865635019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分市进展!$A$2:$A$12</c:f>
              <c:strCache>
                <c:ptCount val="11"/>
                <c:pt idx="0">
                  <c:v>丽水市</c:v>
                </c:pt>
                <c:pt idx="1">
                  <c:v>衢州市</c:v>
                </c:pt>
                <c:pt idx="2">
                  <c:v>嘉兴市</c:v>
                </c:pt>
                <c:pt idx="3">
                  <c:v>宁波市</c:v>
                </c:pt>
                <c:pt idx="4">
                  <c:v>杭州市</c:v>
                </c:pt>
                <c:pt idx="5">
                  <c:v>温州市</c:v>
                </c:pt>
                <c:pt idx="6">
                  <c:v>绍兴市</c:v>
                </c:pt>
                <c:pt idx="7">
                  <c:v>金华市</c:v>
                </c:pt>
                <c:pt idx="8">
                  <c:v>湖州市</c:v>
                </c:pt>
                <c:pt idx="9">
                  <c:v>台州市</c:v>
                </c:pt>
                <c:pt idx="10">
                  <c:v>舟山市</c:v>
                </c:pt>
              </c:strCache>
            </c:strRef>
          </c:cat>
          <c:val>
            <c:numRef>
              <c:f>分市进展!$B$2:$B$12</c:f>
              <c:numCache>
                <c:formatCode>0.00%</c:formatCode>
                <c:ptCount val="11"/>
                <c:pt idx="0">
                  <c:v>0.953001630434783</c:v>
                </c:pt>
                <c:pt idx="1">
                  <c:v>0.944221088435374</c:v>
                </c:pt>
                <c:pt idx="2">
                  <c:v>0.912867914438503</c:v>
                </c:pt>
                <c:pt idx="3">
                  <c:v>0.911047277936963</c:v>
                </c:pt>
                <c:pt idx="4">
                  <c:v>0.888354777070064</c:v>
                </c:pt>
                <c:pt idx="5">
                  <c:v>0.8679975</c:v>
                </c:pt>
                <c:pt idx="6">
                  <c:v>0.865317424242424</c:v>
                </c:pt>
                <c:pt idx="7">
                  <c:v>0.86005079006772</c:v>
                </c:pt>
                <c:pt idx="8">
                  <c:v>0.858414851485149</c:v>
                </c:pt>
                <c:pt idx="9">
                  <c:v>0.837210071942446</c:v>
                </c:pt>
                <c:pt idx="10">
                  <c:v>0.731592105263158</c:v>
                </c:pt>
              </c:numCache>
            </c:numRef>
          </c:val>
        </c:ser>
        <c:dLbls>
          <c:showLegendKey val="false"/>
          <c:showVal val="false"/>
          <c:showCatName val="false"/>
          <c:showSerName val="false"/>
          <c:showPercent val="false"/>
          <c:showBubbleSize val="false"/>
        </c:dLbls>
        <c:gapWidth val="150"/>
        <c:axId val="94946928"/>
        <c:axId val="1"/>
      </c:barChart>
      <c:lineChart>
        <c:grouping val="standard"/>
        <c:varyColors val="false"/>
        <c:ser>
          <c:idx val="1"/>
          <c:order val="1"/>
          <c:tx>
            <c:strRef>
              <c:f>总体平均进度</c:f>
              <c:strCache>
                <c:ptCount val="1"/>
                <c:pt idx="0">
                  <c:v>总体平均进度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123265144546376"/>
                  <c:y val="-0.067306036114757"/>
                </c:manualLayout>
              </c:layout>
              <c:tx>
                <c:rich>
                  <a:bodyPr rot="0" spcFirstLastPara="0" vertOverflow="ellipsis" vert="horz" wrap="square" lIns="38100" tIns="19050" rIns="38100" bIns="19050" anchor="ctr" anchorCtr="false"/>
                  <a:lstStyle/>
                  <a:p>
                    <a:pPr marL="0" marR="0" indent="0" algn="ctr" defTabSz="914400" rtl="0" eaLnBrk="1" fontAlgn="auto" latinLnBrk="0" hangingPunct="1">
                      <a:lnSpc>
                        <a:spcPct val="100000"/>
                      </a:lnSpc>
                      <a:spcBef>
                        <a:spcPts val="0"/>
                      </a:spcBef>
                      <a:spcAft>
                        <a:spcPts val="0"/>
                      </a:spcAft>
                      <a:buClrTx/>
                      <a:buSzTx/>
                      <a:buFontTx/>
                      <a:buNone/>
                      <a:defRPr lang="zh-CN" sz="1050" b="1" i="0" u="none" strike="noStrike" kern="1200" baseline="0">
                        <a:solidFill>
                          <a:srgbClr val="ED7D31"/>
                        </a:solidFill>
                        <a:latin typeface="Times New Roman" charset="0"/>
                        <a:ea typeface="宋体" charset="-122"/>
                        <a:cs typeface="Times New Roman" charset="0"/>
                      </a:defRPr>
                    </a:pPr>
                    <a:r>
                      <a:rPr lang="zh-CN" altLang="en-US" sz="1050" b="1">
                        <a:solidFill>
                          <a:schemeClr val="accent2"/>
                        </a:solidFill>
                        <a:latin typeface="Times New Roman" charset="0"/>
                        <a:ea typeface="宋体" charset="-122"/>
                        <a:cs typeface="Times New Roman" charset="0"/>
                      </a:rPr>
                      <a:t>总体平均进度</a:t>
                    </a:r>
                    <a:r>
                      <a:rPr lang="en-US" altLang="zh-CN" sz="1050" b="1">
                        <a:solidFill>
                          <a:schemeClr val="accent2"/>
                        </a:solidFill>
                        <a:latin typeface="Times New Roman" charset="0"/>
                        <a:ea typeface="宋体" charset="-122"/>
                        <a:cs typeface="Times New Roman" charset="0"/>
                      </a:rPr>
                      <a:t>88.21%</a:t>
                    </a:r>
                    <a:endParaRPr lang="en-US" altLang="zh-CN" sz="1050" b="1">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false"/>
                <a:lstStyle/>
                <a:p>
                  <a:pPr algn="ctr">
                    <a:defRPr lang="zh-CN" sz="1050" b="1" i="0" u="none" strike="noStrike" kern="1200" baseline="0">
                      <a:solidFill>
                        <a:srgbClr val="ED7D31"/>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manualLayout>
                      <c:w val="0.255187189896256"/>
                      <c:h val="0.0781810035842294"/>
                    </c:manualLayout>
                  </c15:layout>
                </c:ext>
              </c:extLst>
            </c:dLbl>
            <c:spPr>
              <a:noFill/>
              <a:ln>
                <a:noFill/>
              </a:ln>
              <a:effectLst/>
            </c:spPr>
            <c:txPr>
              <a:bodyPr rot="0" spcFirstLastPara="0" vertOverflow="ellipsis" vert="horz" wrap="square" lIns="38100" tIns="19050" rIns="38100" bIns="19050" anchor="ctr" anchorCtr="true"/>
              <a:lstStyle/>
              <a:p>
                <a:pPr>
                  <a:defRPr lang="zh-CN" sz="1050" b="1" i="0" u="none" strike="noStrike" kern="1200" baseline="0">
                    <a:solidFill>
                      <a:schemeClr val="tx1"/>
                    </a:solidFill>
                    <a:latin typeface="+mn-lt"/>
                    <a:ea typeface="+mn-ea"/>
                    <a:cs typeface="+mn-cs"/>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分市进展!$A$2:$A$12</c:f>
              <c:strCache>
                <c:ptCount val="11"/>
                <c:pt idx="0">
                  <c:v>丽水市</c:v>
                </c:pt>
                <c:pt idx="1">
                  <c:v>衢州市</c:v>
                </c:pt>
                <c:pt idx="2">
                  <c:v>嘉兴市</c:v>
                </c:pt>
                <c:pt idx="3">
                  <c:v>宁波市</c:v>
                </c:pt>
                <c:pt idx="4">
                  <c:v>杭州市</c:v>
                </c:pt>
                <c:pt idx="5">
                  <c:v>温州市</c:v>
                </c:pt>
                <c:pt idx="6">
                  <c:v>绍兴市</c:v>
                </c:pt>
                <c:pt idx="7">
                  <c:v>金华市</c:v>
                </c:pt>
                <c:pt idx="8">
                  <c:v>湖州市</c:v>
                </c:pt>
                <c:pt idx="9">
                  <c:v>台州市</c:v>
                </c:pt>
                <c:pt idx="10">
                  <c:v>舟山市</c:v>
                </c:pt>
              </c:strCache>
            </c:strRef>
          </c:cat>
          <c:val>
            <c:numRef>
              <c:f>分市进展!$C$2:$C$12</c:f>
              <c:numCache>
                <c:formatCode>0.00%</c:formatCode>
                <c:ptCount val="11"/>
                <c:pt idx="0">
                  <c:v>0.882105372217959</c:v>
                </c:pt>
                <c:pt idx="1">
                  <c:v>0.882105372217959</c:v>
                </c:pt>
                <c:pt idx="2">
                  <c:v>0.882105372217959</c:v>
                </c:pt>
                <c:pt idx="3">
                  <c:v>0.882105372217959</c:v>
                </c:pt>
                <c:pt idx="4">
                  <c:v>0.882105372217959</c:v>
                </c:pt>
                <c:pt idx="5">
                  <c:v>0.882105372217959</c:v>
                </c:pt>
                <c:pt idx="6">
                  <c:v>0.882105372217959</c:v>
                </c:pt>
                <c:pt idx="7">
                  <c:v>0.882105372217959</c:v>
                </c:pt>
                <c:pt idx="8">
                  <c:v>0.882105372217959</c:v>
                </c:pt>
                <c:pt idx="9">
                  <c:v>0.882105372217959</c:v>
                </c:pt>
                <c:pt idx="10">
                  <c:v>0.882105372217959</c:v>
                </c:pt>
              </c:numCache>
            </c:numRef>
          </c:val>
          <c:smooth val="false"/>
        </c:ser>
        <c:dLbls>
          <c:showLegendKey val="false"/>
          <c:showVal val="false"/>
          <c:showCatName val="false"/>
          <c:showSerName val="false"/>
          <c:showPercent val="false"/>
          <c:showBubbleSize val="false"/>
        </c:dLbls>
        <c:marker val="false"/>
        <c:smooth val="false"/>
        <c:axId val="94946928"/>
        <c:axId val="1"/>
      </c:lineChart>
      <c:catAx>
        <c:axId val="9494692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6928"/>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mn-cs"/>
              </a:defRPr>
            </a:pPr>
            <a:r>
              <a:rPr lang="zh-CN" sz="1000">
                <a:latin typeface="方正小标宋简体" panose="02000000000000000000" pitchFamily="4" charset="-122"/>
                <a:ea typeface="方正小标宋简体" panose="02000000000000000000" pitchFamily="4" charset="-122"/>
              </a:rPr>
              <a:t>提标加固海塘分市进度</a:t>
            </a:r>
            <a:endParaRPr lang="zh-CN" sz="100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宁波市</c:v>
                </c:pt>
                <c:pt idx="1">
                  <c:v>台州市</c:v>
                </c:pt>
                <c:pt idx="2">
                  <c:v>温州市</c:v>
                </c:pt>
                <c:pt idx="3">
                  <c:v>舟山市</c:v>
                </c:pt>
                <c:pt idx="4">
                  <c:v>绍兴市</c:v>
                </c:pt>
                <c:pt idx="5">
                  <c:v>杭州市</c:v>
                </c:pt>
                <c:pt idx="6">
                  <c:v>嘉兴市</c:v>
                </c:pt>
              </c:strCache>
            </c:strRef>
          </c:cat>
          <c:val>
            <c:numRef>
              <c:f>海塘!$B$2:$B$8</c:f>
              <c:numCache>
                <c:formatCode>0.00%</c:formatCode>
                <c:ptCount val="7"/>
                <c:pt idx="0">
                  <c:v>0.7778</c:v>
                </c:pt>
                <c:pt idx="1">
                  <c:v>0.7286</c:v>
                </c:pt>
                <c:pt idx="2">
                  <c:v>0.5364</c:v>
                </c:pt>
                <c:pt idx="3">
                  <c:v>0.4667</c:v>
                </c:pt>
                <c:pt idx="4">
                  <c:v>0.4</c:v>
                </c:pt>
                <c:pt idx="5">
                  <c:v>0.4</c:v>
                </c:pt>
                <c:pt idx="6">
                  <c:v>0.2</c:v>
                </c:pt>
              </c:numCache>
            </c:numRef>
          </c:val>
        </c:ser>
        <c:dLbls>
          <c:showLegendKey val="false"/>
          <c:showVal val="false"/>
          <c:showCatName val="false"/>
          <c:showSerName val="false"/>
          <c:showPercent val="false"/>
          <c:showBubbleSize val="false"/>
        </c:dLbls>
        <c:gapWidth val="150"/>
        <c:axId val="94942768"/>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layout>
                <c:manualLayout>
                  <c:x val="-0.0819444444444444"/>
                  <c:y val="-0.0267359324693345"/>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r>
                      <a:rPr lang="zh-CN" altLang="en-US">
                        <a:solidFill>
                          <a:schemeClr val="accent2"/>
                        </a:solidFill>
                        <a:latin typeface="Times New Roman" charset="0"/>
                        <a:ea typeface="宋体" charset="-122"/>
                        <a:cs typeface="Times New Roman" charset="0"/>
                      </a:rPr>
                      <a:t>平均进度</a:t>
                    </a:r>
                    <a:r>
                      <a:rPr lang="en-US" altLang="zh-CN">
                        <a:solidFill>
                          <a:schemeClr val="accent2"/>
                        </a:solidFill>
                        <a:latin typeface="Times New Roman" charset="0"/>
                        <a:ea typeface="宋体" charset="-122"/>
                        <a:cs typeface="Times New Roman" charset="0"/>
                      </a:rPr>
                      <a:t>60.77%</a:t>
                    </a:r>
                    <a:endParaRPr lang="en-US" altLang="zh-CN">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mn-lt"/>
                    <a:ea typeface="+mn-ea"/>
                    <a:cs typeface="+mn-cs"/>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宁波市</c:v>
                </c:pt>
                <c:pt idx="1">
                  <c:v>台州市</c:v>
                </c:pt>
                <c:pt idx="2">
                  <c:v>温州市</c:v>
                </c:pt>
                <c:pt idx="3">
                  <c:v>舟山市</c:v>
                </c:pt>
                <c:pt idx="4">
                  <c:v>绍兴市</c:v>
                </c:pt>
                <c:pt idx="5">
                  <c:v>杭州市</c:v>
                </c:pt>
                <c:pt idx="6">
                  <c:v>嘉兴市</c:v>
                </c:pt>
              </c:strCache>
            </c:strRef>
          </c:cat>
          <c:val>
            <c:numRef>
              <c:f>海塘!$C$2:$C$8</c:f>
              <c:numCache>
                <c:formatCode>0.00%</c:formatCode>
                <c:ptCount val="7"/>
                <c:pt idx="0">
                  <c:v>0.6077</c:v>
                </c:pt>
                <c:pt idx="1">
                  <c:v>0.6077</c:v>
                </c:pt>
                <c:pt idx="2">
                  <c:v>0.6077</c:v>
                </c:pt>
                <c:pt idx="3">
                  <c:v>0.6077</c:v>
                </c:pt>
                <c:pt idx="4">
                  <c:v>0.6077</c:v>
                </c:pt>
                <c:pt idx="5">
                  <c:v>0.6077</c:v>
                </c:pt>
                <c:pt idx="6">
                  <c:v>0.6077</c:v>
                </c:pt>
              </c:numCache>
            </c:numRef>
          </c:val>
          <c:smooth val="false"/>
        </c:ser>
        <c:dLbls>
          <c:showLegendKey val="false"/>
          <c:showVal val="false"/>
          <c:showCatName val="false"/>
          <c:showSerName val="false"/>
          <c:showPercent val="false"/>
          <c:showBubbleSize val="false"/>
        </c:dLbls>
        <c:marker val="false"/>
        <c:smooth val="false"/>
        <c:axId val="94942768"/>
        <c:axId val="1"/>
      </c:lineChart>
      <c:catAx>
        <c:axId val="9494276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mn-cs"/>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2768"/>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000">
                <a:latin typeface="方正小标宋简体" panose="02000000000000000000" pitchFamily="4" charset="-122"/>
                <a:ea typeface="方正小标宋简体" panose="02000000000000000000" pitchFamily="4" charset="-122"/>
              </a:rPr>
              <a:t>病险水库除险加固分市进度</a:t>
            </a:r>
            <a:endParaRPr lang="zh-CN" sz="100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7"/>
              <c:layout>
                <c:manualLayout>
                  <c:x val="-1.0185067526416e-16"/>
                  <c:y val="0.02325974949799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
                  <c:y val="0.02325974949799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1.0185067526416e-16"/>
                  <c:y val="0.018607799598393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杭州市</c:v>
                </c:pt>
                <c:pt idx="2">
                  <c:v>衢州市</c:v>
                </c:pt>
                <c:pt idx="3">
                  <c:v>丽水市</c:v>
                </c:pt>
                <c:pt idx="4">
                  <c:v>湖州市</c:v>
                </c:pt>
                <c:pt idx="5">
                  <c:v>金华市</c:v>
                </c:pt>
                <c:pt idx="6">
                  <c:v>舟山市</c:v>
                </c:pt>
                <c:pt idx="7">
                  <c:v>绍兴市</c:v>
                </c:pt>
                <c:pt idx="8">
                  <c:v>温州市</c:v>
                </c:pt>
                <c:pt idx="9">
                  <c:v>台州市</c:v>
                </c:pt>
              </c:strCache>
            </c:strRef>
          </c:cat>
          <c:val>
            <c:numRef>
              <c:f>水库!$B$2:$B$11</c:f>
              <c:numCache>
                <c:formatCode>0.00%</c:formatCode>
                <c:ptCount val="10"/>
                <c:pt idx="0">
                  <c:v>0.9417</c:v>
                </c:pt>
                <c:pt idx="1">
                  <c:v>0.9278</c:v>
                </c:pt>
                <c:pt idx="2">
                  <c:v>0.9196</c:v>
                </c:pt>
                <c:pt idx="3">
                  <c:v>0.9083</c:v>
                </c:pt>
                <c:pt idx="4">
                  <c:v>0.8917</c:v>
                </c:pt>
                <c:pt idx="5">
                  <c:v>0.889</c:v>
                </c:pt>
                <c:pt idx="6">
                  <c:v>0.85</c:v>
                </c:pt>
                <c:pt idx="7">
                  <c:v>0.7983</c:v>
                </c:pt>
                <c:pt idx="8">
                  <c:v>0.7577</c:v>
                </c:pt>
                <c:pt idx="9">
                  <c:v>0.736</c:v>
                </c:pt>
              </c:numCache>
            </c:numRef>
          </c:val>
        </c:ser>
        <c:dLbls>
          <c:showLegendKey val="false"/>
          <c:showVal val="false"/>
          <c:showCatName val="false"/>
          <c:showSerName val="false"/>
          <c:showPercent val="false"/>
          <c:showBubbleSize val="false"/>
        </c:dLbls>
        <c:gapWidth val="150"/>
        <c:axId val="260273168"/>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layout>
                <c:manualLayout>
                  <c:x val="-0.0666666666666667"/>
                  <c:y val="-0.0367762623422073"/>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mn-ea"/>
                        <a:cs typeface="Times New Roman" charset="0"/>
                      </a:defRPr>
                    </a:pPr>
                    <a:r>
                      <a:rPr lang="zh-CN" altLang="en-US">
                        <a:solidFill>
                          <a:schemeClr val="accent2"/>
                        </a:solidFill>
                      </a:rPr>
                      <a:t>平均进度</a:t>
                    </a:r>
                    <a:r>
                      <a:rPr lang="en-US" altLang="zh-CN">
                        <a:solidFill>
                          <a:schemeClr val="accent2"/>
                        </a:solidFill>
                        <a:latin typeface="Times New Roman" charset="0"/>
                        <a:ea typeface="宋体" charset="-122"/>
                        <a:cs typeface="Times New Roman" charset="0"/>
                      </a:rPr>
                      <a:t>84.43</a:t>
                    </a:r>
                    <a:r>
                      <a:rPr lang="en-US" altLang="zh-CN">
                        <a:solidFill>
                          <a:schemeClr val="accent2"/>
                        </a:solidFill>
                      </a:rPr>
                      <a:t>%</a:t>
                    </a:r>
                    <a:endParaRPr lang="en-US" altLang="zh-CN">
                      <a:solidFill>
                        <a:schemeClr val="accent2"/>
                      </a:solidFill>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mn-ea"/>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杭州市</c:v>
                </c:pt>
                <c:pt idx="2">
                  <c:v>衢州市</c:v>
                </c:pt>
                <c:pt idx="3">
                  <c:v>丽水市</c:v>
                </c:pt>
                <c:pt idx="4">
                  <c:v>湖州市</c:v>
                </c:pt>
                <c:pt idx="5">
                  <c:v>金华市</c:v>
                </c:pt>
                <c:pt idx="6">
                  <c:v>舟山市</c:v>
                </c:pt>
                <c:pt idx="7">
                  <c:v>绍兴市</c:v>
                </c:pt>
                <c:pt idx="8">
                  <c:v>温州市</c:v>
                </c:pt>
                <c:pt idx="9">
                  <c:v>台州市</c:v>
                </c:pt>
              </c:strCache>
            </c:strRef>
          </c:cat>
          <c:val>
            <c:numRef>
              <c:f>水库!$C$2:$C$11</c:f>
              <c:numCache>
                <c:formatCode>0.00%</c:formatCode>
                <c:ptCount val="10"/>
                <c:pt idx="0">
                  <c:v>0.8443</c:v>
                </c:pt>
                <c:pt idx="1">
                  <c:v>0.8443</c:v>
                </c:pt>
                <c:pt idx="2">
                  <c:v>0.8443</c:v>
                </c:pt>
                <c:pt idx="3">
                  <c:v>0.8443</c:v>
                </c:pt>
                <c:pt idx="4">
                  <c:v>0.8443</c:v>
                </c:pt>
                <c:pt idx="5">
                  <c:v>0.8443</c:v>
                </c:pt>
                <c:pt idx="6">
                  <c:v>0.8443</c:v>
                </c:pt>
                <c:pt idx="7">
                  <c:v>0.8443</c:v>
                </c:pt>
                <c:pt idx="8">
                  <c:v>0.8443</c:v>
                </c:pt>
                <c:pt idx="9">
                  <c:v>0.8443</c:v>
                </c:pt>
              </c:numCache>
            </c:numRef>
          </c:val>
          <c:smooth val="false"/>
        </c:ser>
        <c:dLbls>
          <c:showLegendKey val="false"/>
          <c:showVal val="false"/>
          <c:showCatName val="false"/>
          <c:showSerName val="false"/>
          <c:showPercent val="false"/>
          <c:showBubbleSize val="false"/>
        </c:dLbls>
        <c:marker val="false"/>
        <c:smooth val="false"/>
        <c:axId val="260273168"/>
        <c:axId val="1"/>
      </c:lineChart>
      <c:catAx>
        <c:axId val="26027316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260273168"/>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000">
                <a:latin typeface="方正小标宋简体" panose="02000000000000000000" pitchFamily="4" charset="-122"/>
                <a:ea typeface="方正小标宋简体" panose="02000000000000000000" pitchFamily="4" charset="-122"/>
              </a:rPr>
              <a:t>整治病险山塘分市进度</a:t>
            </a:r>
            <a:endParaRPr lang="zh-CN" sz="100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6"/>
              <c:layout>
                <c:manualLayout>
                  <c:x val="0"/>
                  <c:y val="0.0003040092537450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0.0027777929142941"/>
                  <c:y val="0.00417210881815124"/>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0.00461361014994233"/>
                  <c:y val="0.028174795686084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
                  <c:y val="0.023153625948979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湖州市</c:v>
                </c:pt>
                <c:pt idx="1">
                  <c:v>丽水市</c:v>
                </c:pt>
                <c:pt idx="2">
                  <c:v>衢州市</c:v>
                </c:pt>
                <c:pt idx="3">
                  <c:v>温州市</c:v>
                </c:pt>
                <c:pt idx="4">
                  <c:v>宁波市</c:v>
                </c:pt>
                <c:pt idx="5">
                  <c:v>杭州市</c:v>
                </c:pt>
                <c:pt idx="6">
                  <c:v>绍兴市</c:v>
                </c:pt>
                <c:pt idx="7">
                  <c:v>金华市</c:v>
                </c:pt>
                <c:pt idx="8">
                  <c:v>舟山市</c:v>
                </c:pt>
                <c:pt idx="9">
                  <c:v>台州市</c:v>
                </c:pt>
              </c:strCache>
            </c:strRef>
          </c:cat>
          <c:val>
            <c:numRef>
              <c:f>山塘!$B$2:$B$11</c:f>
              <c:numCache>
                <c:formatCode>0.00%</c:formatCode>
                <c:ptCount val="10"/>
                <c:pt idx="0">
                  <c:v>0.94</c:v>
                </c:pt>
                <c:pt idx="1">
                  <c:v>0.9135</c:v>
                </c:pt>
                <c:pt idx="2">
                  <c:v>0.8567</c:v>
                </c:pt>
                <c:pt idx="3">
                  <c:v>0.84</c:v>
                </c:pt>
                <c:pt idx="4">
                  <c:v>0.8343</c:v>
                </c:pt>
                <c:pt idx="5">
                  <c:v>0.7656</c:v>
                </c:pt>
                <c:pt idx="6">
                  <c:v>0.7619</c:v>
                </c:pt>
                <c:pt idx="7">
                  <c:v>0.759</c:v>
                </c:pt>
                <c:pt idx="8">
                  <c:v>0.7286</c:v>
                </c:pt>
                <c:pt idx="9">
                  <c:v>0.5885</c:v>
                </c:pt>
              </c:numCache>
            </c:numRef>
          </c:val>
        </c:ser>
        <c:dLbls>
          <c:showLegendKey val="false"/>
          <c:showVal val="false"/>
          <c:showCatName val="false"/>
          <c:showSerName val="false"/>
          <c:showPercent val="false"/>
          <c:showBubbleSize val="false"/>
        </c:dLbls>
        <c:gapWidth val="150"/>
        <c:axId val="260275664"/>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layout>
                <c:manualLayout>
                  <c:x val="-0.0375"/>
                  <c:y val="-0.02778429451602"/>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mn-ea"/>
                        <a:cs typeface="Times New Roman" charset="0"/>
                      </a:defRPr>
                    </a:pPr>
                    <a:r>
                      <a:rPr lang="zh-CN" altLang="en-US">
                        <a:solidFill>
                          <a:schemeClr val="accent2"/>
                        </a:solidFill>
                      </a:rPr>
                      <a:t>平均进度</a:t>
                    </a:r>
                    <a:r>
                      <a:rPr lang="en-US" altLang="zh-CN">
                        <a:solidFill>
                          <a:schemeClr val="accent2"/>
                        </a:solidFill>
                      </a:rPr>
                      <a:t>76.47%</a:t>
                    </a:r>
                    <a:endParaRPr lang="en-US" altLang="zh-CN">
                      <a:solidFill>
                        <a:schemeClr val="accent2"/>
                      </a:solidFill>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mn-ea"/>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湖州市</c:v>
                </c:pt>
                <c:pt idx="1">
                  <c:v>丽水市</c:v>
                </c:pt>
                <c:pt idx="2">
                  <c:v>衢州市</c:v>
                </c:pt>
                <c:pt idx="3">
                  <c:v>温州市</c:v>
                </c:pt>
                <c:pt idx="4">
                  <c:v>宁波市</c:v>
                </c:pt>
                <c:pt idx="5">
                  <c:v>杭州市</c:v>
                </c:pt>
                <c:pt idx="6">
                  <c:v>绍兴市</c:v>
                </c:pt>
                <c:pt idx="7">
                  <c:v>金华市</c:v>
                </c:pt>
                <c:pt idx="8">
                  <c:v>舟山市</c:v>
                </c:pt>
                <c:pt idx="9">
                  <c:v>台州市</c:v>
                </c:pt>
              </c:strCache>
            </c:strRef>
          </c:cat>
          <c:val>
            <c:numRef>
              <c:f>山塘!$C$2:$C$11</c:f>
              <c:numCache>
                <c:formatCode>0.00%</c:formatCode>
                <c:ptCount val="10"/>
                <c:pt idx="0">
                  <c:v>0.7647</c:v>
                </c:pt>
                <c:pt idx="1">
                  <c:v>0.7647</c:v>
                </c:pt>
                <c:pt idx="2">
                  <c:v>0.7647</c:v>
                </c:pt>
                <c:pt idx="3">
                  <c:v>0.7647</c:v>
                </c:pt>
                <c:pt idx="4">
                  <c:v>0.7647</c:v>
                </c:pt>
                <c:pt idx="5">
                  <c:v>0.7647</c:v>
                </c:pt>
                <c:pt idx="6">
                  <c:v>0.7647</c:v>
                </c:pt>
                <c:pt idx="7">
                  <c:v>0.7647</c:v>
                </c:pt>
                <c:pt idx="8">
                  <c:v>0.7647</c:v>
                </c:pt>
                <c:pt idx="9">
                  <c:v>0.7647</c:v>
                </c:pt>
              </c:numCache>
            </c:numRef>
          </c:val>
          <c:smooth val="false"/>
        </c:ser>
        <c:dLbls>
          <c:showLegendKey val="false"/>
          <c:showVal val="false"/>
          <c:showCatName val="false"/>
          <c:showSerName val="false"/>
          <c:showPercent val="false"/>
          <c:showBubbleSize val="false"/>
        </c:dLbls>
        <c:marker val="false"/>
        <c:smooth val="false"/>
        <c:axId val="260275664"/>
        <c:axId val="1"/>
      </c:lineChart>
      <c:catAx>
        <c:axId val="26027566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260275664"/>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000">
                <a:latin typeface="方正小标宋简体" panose="02000000000000000000" pitchFamily="4" charset="-122"/>
                <a:ea typeface="方正小标宋简体" panose="02000000000000000000" pitchFamily="4" charset="-122"/>
              </a:rPr>
              <a:t>提升改造农业灌溉设施分市进度</a:t>
            </a:r>
            <a:endParaRPr lang="zh-CN" sz="100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9"/>
              <c:layout>
                <c:manualLayout>
                  <c:x val="1.0185067526416e-16"/>
                  <c:y val="0.024809785143163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layout>
                <c:manualLayout>
                  <c:x val="0"/>
                  <c:y val="0.024800029034180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灌溉设施!$A$2:$A$12</c:f>
              <c:strCache>
                <c:ptCount val="11"/>
                <c:pt idx="0">
                  <c:v>舟山市</c:v>
                </c:pt>
                <c:pt idx="1">
                  <c:v>衢州市</c:v>
                </c:pt>
                <c:pt idx="2">
                  <c:v>丽水市</c:v>
                </c:pt>
                <c:pt idx="3">
                  <c:v>杭州市</c:v>
                </c:pt>
                <c:pt idx="4">
                  <c:v>嘉兴市</c:v>
                </c:pt>
                <c:pt idx="5">
                  <c:v>宁波市</c:v>
                </c:pt>
                <c:pt idx="6">
                  <c:v>金华市</c:v>
                </c:pt>
                <c:pt idx="7">
                  <c:v>台州市</c:v>
                </c:pt>
                <c:pt idx="8">
                  <c:v>绍兴市</c:v>
                </c:pt>
                <c:pt idx="9">
                  <c:v>温州市</c:v>
                </c:pt>
                <c:pt idx="10">
                  <c:v>湖州市</c:v>
                </c:pt>
              </c:strCache>
            </c:strRef>
          </c:cat>
          <c:val>
            <c:numRef>
              <c:f>灌溉设施!$B$2:$B$12</c:f>
              <c:numCache>
                <c:formatCode>0.00%</c:formatCode>
                <c:ptCount val="11"/>
                <c:pt idx="0">
                  <c:v>1</c:v>
                </c:pt>
                <c:pt idx="1">
                  <c:v>0.9896</c:v>
                </c:pt>
                <c:pt idx="2">
                  <c:v>0.9777</c:v>
                </c:pt>
                <c:pt idx="3">
                  <c:v>0.9552</c:v>
                </c:pt>
                <c:pt idx="4">
                  <c:v>0.9519</c:v>
                </c:pt>
                <c:pt idx="5">
                  <c:v>0.9424</c:v>
                </c:pt>
                <c:pt idx="6">
                  <c:v>0.9306</c:v>
                </c:pt>
                <c:pt idx="7">
                  <c:v>0.929</c:v>
                </c:pt>
                <c:pt idx="8">
                  <c:v>0.9282</c:v>
                </c:pt>
                <c:pt idx="9">
                  <c:v>0.9246</c:v>
                </c:pt>
                <c:pt idx="10">
                  <c:v>0.865</c:v>
                </c:pt>
              </c:numCache>
            </c:numRef>
          </c:val>
        </c:ser>
        <c:dLbls>
          <c:showLegendKey val="false"/>
          <c:showVal val="false"/>
          <c:showCatName val="false"/>
          <c:showSerName val="false"/>
          <c:showPercent val="false"/>
          <c:showBubbleSize val="false"/>
        </c:dLbls>
        <c:gapWidth val="150"/>
        <c:axId val="94946096"/>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166666666666668"/>
                  <c:y val="-0.0353900902127885"/>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r>
                      <a:rPr lang="zh-CN" altLang="en-US">
                        <a:solidFill>
                          <a:schemeClr val="accent2"/>
                        </a:solidFill>
                        <a:latin typeface="Times New Roman" charset="0"/>
                        <a:ea typeface="宋体" charset="-122"/>
                        <a:cs typeface="Times New Roman" charset="0"/>
                      </a:rPr>
                      <a:t>平均进度</a:t>
                    </a:r>
                    <a:r>
                      <a:rPr lang="en-US" altLang="zh-CN">
                        <a:solidFill>
                          <a:schemeClr val="accent2"/>
                        </a:solidFill>
                        <a:latin typeface="Times New Roman" charset="0"/>
                        <a:ea typeface="宋体" charset="-122"/>
                        <a:cs typeface="Times New Roman" charset="0"/>
                      </a:rPr>
                      <a:t>93.52%</a:t>
                    </a:r>
                    <a:endParaRPr lang="en-US" altLang="zh-CN">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灌溉设施!$A$2:$A$12</c:f>
              <c:strCache>
                <c:ptCount val="11"/>
                <c:pt idx="0">
                  <c:v>舟山市</c:v>
                </c:pt>
                <c:pt idx="1">
                  <c:v>衢州市</c:v>
                </c:pt>
                <c:pt idx="2">
                  <c:v>丽水市</c:v>
                </c:pt>
                <c:pt idx="3">
                  <c:v>杭州市</c:v>
                </c:pt>
                <c:pt idx="4">
                  <c:v>嘉兴市</c:v>
                </c:pt>
                <c:pt idx="5">
                  <c:v>宁波市</c:v>
                </c:pt>
                <c:pt idx="6">
                  <c:v>金华市</c:v>
                </c:pt>
                <c:pt idx="7">
                  <c:v>台州市</c:v>
                </c:pt>
                <c:pt idx="8">
                  <c:v>绍兴市</c:v>
                </c:pt>
                <c:pt idx="9">
                  <c:v>温州市</c:v>
                </c:pt>
                <c:pt idx="10">
                  <c:v>湖州市</c:v>
                </c:pt>
              </c:strCache>
            </c:strRef>
          </c:cat>
          <c:val>
            <c:numRef>
              <c:f>灌溉设施!$C$2:$C$12</c:f>
              <c:numCache>
                <c:formatCode>0.00%</c:formatCode>
                <c:ptCount val="11"/>
                <c:pt idx="0">
                  <c:v>0.9352</c:v>
                </c:pt>
                <c:pt idx="1">
                  <c:v>0.9352</c:v>
                </c:pt>
                <c:pt idx="2">
                  <c:v>0.9352</c:v>
                </c:pt>
                <c:pt idx="3">
                  <c:v>0.9352</c:v>
                </c:pt>
                <c:pt idx="4">
                  <c:v>0.9352</c:v>
                </c:pt>
                <c:pt idx="5">
                  <c:v>0.9352</c:v>
                </c:pt>
                <c:pt idx="6">
                  <c:v>0.9352</c:v>
                </c:pt>
                <c:pt idx="7">
                  <c:v>0.9352</c:v>
                </c:pt>
                <c:pt idx="8">
                  <c:v>0.9352</c:v>
                </c:pt>
                <c:pt idx="9">
                  <c:v>0.9352</c:v>
                </c:pt>
                <c:pt idx="10">
                  <c:v>0.9352</c:v>
                </c:pt>
              </c:numCache>
            </c:numRef>
          </c:val>
          <c:smooth val="false"/>
        </c:ser>
        <c:dLbls>
          <c:showLegendKey val="false"/>
          <c:showVal val="false"/>
          <c:showCatName val="false"/>
          <c:showSerName val="false"/>
          <c:showPercent val="false"/>
          <c:showBubbleSize val="false"/>
        </c:dLbls>
        <c:marker val="false"/>
        <c:smooth val="false"/>
        <c:axId val="94946096"/>
        <c:axId val="1"/>
      </c:lineChart>
      <c:catAx>
        <c:axId val="9494609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6096"/>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000">
                <a:latin typeface="方正小标宋简体" panose="02000000000000000000" pitchFamily="4" charset="-122"/>
                <a:ea typeface="方正小标宋简体" panose="02000000000000000000" pitchFamily="4" charset="-122"/>
              </a:rPr>
              <a:t>改造农村供水管网分市进度</a:t>
            </a:r>
            <a:endParaRPr lang="zh-CN" sz="100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8"/>
              <c:layout>
                <c:manualLayout>
                  <c:x val="0"/>
                  <c:y val="0.025100401606425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供水管网!$A$2:$A$12</c:f>
              <c:strCache>
                <c:ptCount val="11"/>
                <c:pt idx="0">
                  <c:v>台州市</c:v>
                </c:pt>
                <c:pt idx="1">
                  <c:v>丽水市</c:v>
                </c:pt>
                <c:pt idx="2">
                  <c:v>杭州市</c:v>
                </c:pt>
                <c:pt idx="3">
                  <c:v>湖州市</c:v>
                </c:pt>
                <c:pt idx="4">
                  <c:v>衢州市</c:v>
                </c:pt>
                <c:pt idx="5">
                  <c:v>金华市</c:v>
                </c:pt>
                <c:pt idx="6">
                  <c:v>绍兴市</c:v>
                </c:pt>
                <c:pt idx="7">
                  <c:v>宁波市</c:v>
                </c:pt>
                <c:pt idx="8">
                  <c:v>温州市</c:v>
                </c:pt>
                <c:pt idx="9">
                  <c:v>舟山市</c:v>
                </c:pt>
                <c:pt idx="10">
                  <c:v>嘉兴市</c:v>
                </c:pt>
              </c:strCache>
            </c:strRef>
          </c:cat>
          <c:val>
            <c:numRef>
              <c:f>供水管网!$B$2:$B$12</c:f>
              <c:numCache>
                <c:formatCode>0.00%</c:formatCode>
                <c:ptCount val="11"/>
                <c:pt idx="0">
                  <c:v>0.9694</c:v>
                </c:pt>
                <c:pt idx="1">
                  <c:v>0.9636</c:v>
                </c:pt>
                <c:pt idx="2">
                  <c:v>0.9396</c:v>
                </c:pt>
                <c:pt idx="3">
                  <c:v>0.93</c:v>
                </c:pt>
                <c:pt idx="4">
                  <c:v>0.9229</c:v>
                </c:pt>
                <c:pt idx="5">
                  <c:v>0.9155</c:v>
                </c:pt>
                <c:pt idx="6">
                  <c:v>0.8778</c:v>
                </c:pt>
                <c:pt idx="7">
                  <c:v>0.8731</c:v>
                </c:pt>
                <c:pt idx="8">
                  <c:v>0.837</c:v>
                </c:pt>
                <c:pt idx="9">
                  <c:v>0.7625</c:v>
                </c:pt>
                <c:pt idx="10">
                  <c:v>0.7563</c:v>
                </c:pt>
              </c:numCache>
            </c:numRef>
          </c:val>
        </c:ser>
        <c:dLbls>
          <c:showLegendKey val="false"/>
          <c:showVal val="false"/>
          <c:showCatName val="false"/>
          <c:showSerName val="false"/>
          <c:showPercent val="false"/>
          <c:showBubbleSize val="false"/>
        </c:dLbls>
        <c:gapWidth val="150"/>
        <c:axId val="94945264"/>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722222222222223"/>
                  <c:y val="-0.0284280312836152"/>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r>
                      <a:rPr lang="zh-CN" altLang="en-US">
                        <a:solidFill>
                          <a:schemeClr val="accent2"/>
                        </a:solidFill>
                        <a:latin typeface="Times New Roman" charset="0"/>
                        <a:ea typeface="宋体" charset="-122"/>
                        <a:cs typeface="Times New Roman" charset="0"/>
                      </a:rPr>
                      <a:t>平均进度</a:t>
                    </a:r>
                    <a:r>
                      <a:rPr lang="en-US" altLang="zh-CN">
                        <a:solidFill>
                          <a:schemeClr val="accent2"/>
                        </a:solidFill>
                        <a:latin typeface="Times New Roman" charset="0"/>
                        <a:ea typeface="宋体" charset="-122"/>
                        <a:cs typeface="Times New Roman" charset="0"/>
                      </a:rPr>
                      <a:t>91.30%</a:t>
                    </a:r>
                    <a:endParaRPr lang="en-US" altLang="zh-CN">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供水管网!$A$2:$A$12</c:f>
              <c:strCache>
                <c:ptCount val="11"/>
                <c:pt idx="0">
                  <c:v>台州市</c:v>
                </c:pt>
                <c:pt idx="1">
                  <c:v>丽水市</c:v>
                </c:pt>
                <c:pt idx="2">
                  <c:v>杭州市</c:v>
                </c:pt>
                <c:pt idx="3">
                  <c:v>湖州市</c:v>
                </c:pt>
                <c:pt idx="4">
                  <c:v>衢州市</c:v>
                </c:pt>
                <c:pt idx="5">
                  <c:v>金华市</c:v>
                </c:pt>
                <c:pt idx="6">
                  <c:v>绍兴市</c:v>
                </c:pt>
                <c:pt idx="7">
                  <c:v>宁波市</c:v>
                </c:pt>
                <c:pt idx="8">
                  <c:v>温州市</c:v>
                </c:pt>
                <c:pt idx="9">
                  <c:v>舟山市</c:v>
                </c:pt>
                <c:pt idx="10">
                  <c:v>嘉兴市</c:v>
                </c:pt>
              </c:strCache>
            </c:strRef>
          </c:cat>
          <c:val>
            <c:numRef>
              <c:f>供水管网!$C$2:$C$12</c:f>
              <c:numCache>
                <c:formatCode>0.00%</c:formatCode>
                <c:ptCount val="11"/>
                <c:pt idx="0">
                  <c:v>0.913</c:v>
                </c:pt>
                <c:pt idx="1">
                  <c:v>0.913</c:v>
                </c:pt>
                <c:pt idx="2">
                  <c:v>0.913</c:v>
                </c:pt>
                <c:pt idx="3">
                  <c:v>0.913</c:v>
                </c:pt>
                <c:pt idx="4">
                  <c:v>0.913</c:v>
                </c:pt>
                <c:pt idx="5">
                  <c:v>0.913</c:v>
                </c:pt>
                <c:pt idx="6">
                  <c:v>0.913</c:v>
                </c:pt>
                <c:pt idx="7">
                  <c:v>0.913</c:v>
                </c:pt>
                <c:pt idx="8">
                  <c:v>0.913</c:v>
                </c:pt>
                <c:pt idx="9">
                  <c:v>0.913</c:v>
                </c:pt>
                <c:pt idx="10">
                  <c:v>0.913</c:v>
                </c:pt>
              </c:numCache>
            </c:numRef>
          </c:val>
          <c:smooth val="false"/>
        </c:ser>
        <c:dLbls>
          <c:showLegendKey val="false"/>
          <c:showVal val="false"/>
          <c:showCatName val="false"/>
          <c:showSerName val="false"/>
          <c:showPercent val="false"/>
          <c:showBubbleSize val="false"/>
        </c:dLbls>
        <c:marker val="false"/>
        <c:smooth val="false"/>
        <c:axId val="94945264"/>
        <c:axId val="1"/>
      </c:lineChart>
      <c:catAx>
        <c:axId val="9494526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94945264"/>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000" b="1" i="0" u="none" strike="noStrike" kern="1200" baseline="0">
                <a:solidFill>
                  <a:schemeClr val="tx1"/>
                </a:solidFill>
                <a:latin typeface="方正小标宋简体" panose="02000000000000000000" pitchFamily="4" charset="-122"/>
                <a:ea typeface="方正小标宋简体" panose="02000000000000000000" pitchFamily="4" charset="-122"/>
                <a:cs typeface="Times New Roman" charset="0"/>
              </a:defRPr>
            </a:pPr>
            <a:r>
              <a:rPr lang="zh-CN" sz="1000">
                <a:latin typeface="方正小标宋简体" panose="02000000000000000000" pitchFamily="4" charset="-122"/>
                <a:ea typeface="方正小标宋简体" panose="02000000000000000000" pitchFamily="4" charset="-122"/>
              </a:rPr>
              <a:t>中小河流综合治理分市进度</a:t>
            </a:r>
            <a:endParaRPr lang="zh-CN" sz="1000">
              <a:latin typeface="方正小标宋简体" panose="02000000000000000000" pitchFamily="4" charset="-122"/>
              <a:ea typeface="方正小标宋简体" panose="02000000000000000000" pitchFamily="4" charset="-122"/>
            </a:endParaRPr>
          </a:p>
        </c:rich>
      </c:tx>
      <c:layout/>
      <c:overlay val="false"/>
      <c:spPr>
        <a:noFill/>
        <a:ln w="25400">
          <a:noFill/>
        </a:ln>
      </c:spPr>
    </c:title>
    <c:autoTitleDeleted val="false"/>
    <c:plotArea>
      <c:layout/>
      <c:barChart>
        <c:barDir val="col"/>
        <c:grouping val="clustered"/>
        <c:varyColors val="false"/>
        <c:ser>
          <c:idx val="0"/>
          <c:order val="0"/>
          <c:tx>
            <c:strRef>
              <c:f>分市进度</c:f>
              <c:strCache>
                <c:ptCount val="1"/>
                <c:pt idx="0">
                  <c:v>分市进度</c:v>
                </c:pt>
              </c:strCache>
            </c:strRef>
          </c:tx>
          <c:spPr>
            <a:solidFill>
              <a:srgbClr val="5B9BD5"/>
            </a:solidFill>
            <a:ln w="25400">
              <a:noFill/>
            </a:ln>
          </c:spPr>
          <c:invertIfNegative val="false"/>
          <c:dLbls>
            <c:dLbl>
              <c:idx val="5"/>
              <c:layout>
                <c:manualLayout>
                  <c:x val="0"/>
                  <c:y val="0.01515151515151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
                  <c:y val="0.0297176820208023"/>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1.0185067526416e-16"/>
                  <c:y val="0.00990589400693408"/>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8"/>
              <c:layout>
                <c:manualLayout>
                  <c:x val="-8.24331004835827e-17"/>
                  <c:y val="0.010101010101010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
                  <c:y val="0.01515151515151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layout>
                <c:manualLayout>
                  <c:x val="0"/>
                  <c:y val="0.01515151515151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河流治理!$A$2:$A$12</c:f>
              <c:strCache>
                <c:ptCount val="11"/>
                <c:pt idx="0">
                  <c:v>宁波市</c:v>
                </c:pt>
                <c:pt idx="1">
                  <c:v>丽水市</c:v>
                </c:pt>
                <c:pt idx="2">
                  <c:v>台州市</c:v>
                </c:pt>
                <c:pt idx="3">
                  <c:v>衢州市</c:v>
                </c:pt>
                <c:pt idx="4">
                  <c:v>温州市</c:v>
                </c:pt>
                <c:pt idx="5">
                  <c:v>金华市</c:v>
                </c:pt>
                <c:pt idx="6">
                  <c:v>绍兴市</c:v>
                </c:pt>
                <c:pt idx="7">
                  <c:v>湖州市</c:v>
                </c:pt>
                <c:pt idx="8">
                  <c:v>嘉兴市</c:v>
                </c:pt>
                <c:pt idx="9">
                  <c:v>舟山市</c:v>
                </c:pt>
                <c:pt idx="10">
                  <c:v>杭州市</c:v>
                </c:pt>
              </c:strCache>
            </c:strRef>
          </c:cat>
          <c:val>
            <c:numRef>
              <c:f>河流治理!$B$2:$B$12</c:f>
              <c:numCache>
                <c:formatCode>0.00%</c:formatCode>
                <c:ptCount val="11"/>
                <c:pt idx="0">
                  <c:v>0.8286</c:v>
                </c:pt>
                <c:pt idx="1">
                  <c:v>0.815</c:v>
                </c:pt>
                <c:pt idx="2">
                  <c:v>0.8083</c:v>
                </c:pt>
                <c:pt idx="3">
                  <c:v>0.8063</c:v>
                </c:pt>
                <c:pt idx="4">
                  <c:v>0.7688</c:v>
                </c:pt>
                <c:pt idx="5">
                  <c:v>0.76</c:v>
                </c:pt>
                <c:pt idx="6">
                  <c:v>0.7563</c:v>
                </c:pt>
                <c:pt idx="7">
                  <c:v>0.7281</c:v>
                </c:pt>
                <c:pt idx="8">
                  <c:v>0.6875</c:v>
                </c:pt>
                <c:pt idx="9">
                  <c:v>0.65</c:v>
                </c:pt>
                <c:pt idx="10">
                  <c:v>0.6</c:v>
                </c:pt>
              </c:numCache>
            </c:numRef>
          </c:val>
        </c:ser>
        <c:dLbls>
          <c:showLegendKey val="false"/>
          <c:showVal val="false"/>
          <c:showCatName val="false"/>
          <c:showSerName val="false"/>
          <c:showPercent val="false"/>
          <c:showBubbleSize val="false"/>
        </c:dLbls>
        <c:gapWidth val="150"/>
        <c:axId val="260268592"/>
        <c:axId val="1"/>
      </c:barChart>
      <c:lineChart>
        <c:grouping val="standard"/>
        <c:varyColors val="false"/>
        <c:ser>
          <c:idx val="1"/>
          <c:order val="1"/>
          <c:tx>
            <c:strRef>
              <c:f>平均进度</c:f>
              <c:strCache>
                <c:ptCount val="1"/>
                <c:pt idx="0">
                  <c:v>平均进度</c:v>
                </c:pt>
              </c:strCache>
            </c:strRef>
          </c:tx>
          <c:spPr>
            <a:ln w="28575" cap="rnd" cmpd="sng" algn="ctr">
              <a:solidFill>
                <a:schemeClr val="accent2"/>
              </a:solidFill>
              <a:prstDash val="solid"/>
              <a:round/>
            </a:ln>
            <a:effectLst/>
          </c:spPr>
          <c:marker>
            <c:symbol val="none"/>
          </c:marker>
          <c:dLbls>
            <c:dLbl>
              <c:idx val="0"/>
              <c:delete val="true"/>
            </c:dLbl>
            <c:dLbl>
              <c:idx val="1"/>
              <c:delete val="true"/>
            </c:dLbl>
            <c:dLbl>
              <c:idx val="2"/>
              <c:delete val="true"/>
            </c:dLbl>
            <c:dLbl>
              <c:idx val="3"/>
              <c:delete val="true"/>
            </c:dLbl>
            <c:dLbl>
              <c:idx val="4"/>
              <c:delete val="true"/>
            </c:dLbl>
            <c:dLbl>
              <c:idx val="5"/>
              <c:delete val="true"/>
            </c:dLbl>
            <c:dLbl>
              <c:idx val="6"/>
              <c:delete val="true"/>
            </c:dLbl>
            <c:dLbl>
              <c:idx val="7"/>
              <c:delete val="true"/>
            </c:dLbl>
            <c:dLbl>
              <c:idx val="8"/>
              <c:delete val="true"/>
            </c:dLbl>
            <c:dLbl>
              <c:idx val="9"/>
              <c:delete val="true"/>
            </c:dLbl>
            <c:dLbl>
              <c:idx val="10"/>
              <c:layout>
                <c:manualLayout>
                  <c:x val="-0.0722222222222223"/>
                  <c:y val="-0.0386696462347853"/>
                </c:manualLayout>
              </c:layout>
              <c:tx>
                <c:rich>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r>
                      <a:rPr lang="zh-CN" altLang="en-US">
                        <a:solidFill>
                          <a:schemeClr val="accent2"/>
                        </a:solidFill>
                        <a:latin typeface="Times New Roman" charset="0"/>
                        <a:ea typeface="宋体" charset="-122"/>
                        <a:cs typeface="Times New Roman" charset="0"/>
                      </a:rPr>
                      <a:t>平均进度</a:t>
                    </a:r>
                    <a:r>
                      <a:rPr lang="en-US" altLang="zh-CN">
                        <a:solidFill>
                          <a:schemeClr val="accent2"/>
                        </a:solidFill>
                        <a:latin typeface="Times New Roman" charset="0"/>
                        <a:ea typeface="宋体" charset="-122"/>
                        <a:cs typeface="Times New Roman" charset="0"/>
                      </a:rPr>
                      <a:t>75.71%</a:t>
                    </a:r>
                    <a:endParaRPr lang="en-US" altLang="zh-CN">
                      <a:solidFill>
                        <a:schemeClr val="accent2"/>
                      </a:solidFill>
                      <a:latin typeface="Times New Roman" charset="0"/>
                      <a:ea typeface="宋体" charset="-122"/>
                      <a:cs typeface="Times New Roman" charset="0"/>
                    </a:endParaRPr>
                  </a:p>
                </c:rich>
              </c:tx>
              <c:numFmt formatCode="General" sourceLinked="true"/>
              <c:spPr>
                <a:noFill/>
                <a:ln w="25400">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accent2"/>
                      </a:solidFill>
                      <a:latin typeface="Times New Roman" charset="0"/>
                      <a:ea typeface="宋体" charset="-122"/>
                      <a:cs typeface="Times New Roman" charset="0"/>
                    </a:defRPr>
                  </a:pPr>
                </a:p>
              </c:txPr>
              <c:dLblPos val="r"/>
              <c:showLegendKey val="false"/>
              <c:showVal val="fals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solidFill>
                    <a:latin typeface="Times New Roman" charset="0"/>
                    <a:ea typeface="+mn-ea"/>
                    <a:cs typeface="Times New Roman" charset="0"/>
                  </a:defRPr>
                </a:pPr>
              </a:p>
            </c:txPr>
            <c:dLblPos val="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河流治理!$A$2:$A$12</c:f>
              <c:strCache>
                <c:ptCount val="11"/>
                <c:pt idx="0">
                  <c:v>宁波市</c:v>
                </c:pt>
                <c:pt idx="1">
                  <c:v>丽水市</c:v>
                </c:pt>
                <c:pt idx="2">
                  <c:v>台州市</c:v>
                </c:pt>
                <c:pt idx="3">
                  <c:v>衢州市</c:v>
                </c:pt>
                <c:pt idx="4">
                  <c:v>温州市</c:v>
                </c:pt>
                <c:pt idx="5">
                  <c:v>金华市</c:v>
                </c:pt>
                <c:pt idx="6">
                  <c:v>绍兴市</c:v>
                </c:pt>
                <c:pt idx="7">
                  <c:v>湖州市</c:v>
                </c:pt>
                <c:pt idx="8">
                  <c:v>嘉兴市</c:v>
                </c:pt>
                <c:pt idx="9">
                  <c:v>舟山市</c:v>
                </c:pt>
                <c:pt idx="10">
                  <c:v>杭州市</c:v>
                </c:pt>
              </c:strCache>
            </c:strRef>
          </c:cat>
          <c:val>
            <c:numRef>
              <c:f>河流治理!$C$2:$C$12</c:f>
              <c:numCache>
                <c:formatCode>0.00%</c:formatCode>
                <c:ptCount val="11"/>
                <c:pt idx="0">
                  <c:v>0.7571</c:v>
                </c:pt>
                <c:pt idx="1">
                  <c:v>0.7571</c:v>
                </c:pt>
                <c:pt idx="2">
                  <c:v>0.7571</c:v>
                </c:pt>
                <c:pt idx="3">
                  <c:v>0.7571</c:v>
                </c:pt>
                <c:pt idx="4">
                  <c:v>0.7571</c:v>
                </c:pt>
                <c:pt idx="5">
                  <c:v>0.7571</c:v>
                </c:pt>
                <c:pt idx="6">
                  <c:v>0.7571</c:v>
                </c:pt>
                <c:pt idx="7">
                  <c:v>0.7571</c:v>
                </c:pt>
                <c:pt idx="8">
                  <c:v>0.7571</c:v>
                </c:pt>
                <c:pt idx="9">
                  <c:v>0.7571</c:v>
                </c:pt>
                <c:pt idx="10">
                  <c:v>0.7571</c:v>
                </c:pt>
              </c:numCache>
            </c:numRef>
          </c:val>
          <c:smooth val="false"/>
        </c:ser>
        <c:dLbls>
          <c:showLegendKey val="false"/>
          <c:showVal val="false"/>
          <c:showCatName val="false"/>
          <c:showSerName val="false"/>
          <c:showPercent val="false"/>
          <c:showBubbleSize val="false"/>
        </c:dLbls>
        <c:marker val="false"/>
        <c:smooth val="false"/>
        <c:axId val="260268592"/>
        <c:axId val="1"/>
      </c:lineChart>
      <c:catAx>
        <c:axId val="26026859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800" b="0" i="0" u="none" strike="noStrike" kern="1200" baseline="0">
                <a:solidFill>
                  <a:schemeClr val="tx1"/>
                </a:solidFill>
                <a:latin typeface="宋体" charset="-122"/>
                <a:ea typeface="宋体" charset="-122"/>
                <a:cs typeface="Times New Roman" charset="0"/>
              </a:defRPr>
            </a:pPr>
          </a:p>
        </c:txPr>
        <c:crossAx val="1"/>
        <c:crosses val="autoZero"/>
        <c:auto val="true"/>
        <c:lblAlgn val="ctr"/>
        <c:lblOffset val="100"/>
        <c:noMultiLvlLbl val="false"/>
      </c:catAx>
      <c:valAx>
        <c:axId val="1"/>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800" b="0" i="0" u="none" strike="noStrike" kern="1200" baseline="0">
                <a:solidFill>
                  <a:schemeClr val="tx1"/>
                </a:solidFill>
                <a:latin typeface="Times New Roman" charset="0"/>
                <a:ea typeface="+mn-ea"/>
                <a:cs typeface="Times New Roman" charset="0"/>
              </a:defRPr>
            </a:pPr>
          </a:p>
        </c:txPr>
        <c:crossAx val="260268592"/>
        <c:crosses val="autoZero"/>
        <c:crossBetween val="between"/>
      </c:valAx>
      <c:spPr>
        <a:noFill/>
        <a:ln w="25400">
          <a:noFill/>
        </a:ln>
      </c:spPr>
    </c:plotArea>
    <c:plotVisOnly val="true"/>
    <c:dispBlanksAs val="gap"/>
    <c:showDLblsOverMax val="false"/>
  </c:chart>
  <c:spPr>
    <a:solidFill>
      <a:srgbClr val="FFFFFF"/>
    </a:solidFill>
    <a:ln w="3175" cap="flat" cmpd="sng" algn="ctr">
      <a:solidFill>
        <a:srgbClr val="C0C0C0"/>
      </a:solidFill>
      <a:prstDash val="solid"/>
      <a:round/>
    </a:ln>
  </c:spPr>
  <c:txPr>
    <a:bodyPr/>
    <a:lstStyle/>
    <a:p>
      <a:pPr>
        <a:defRPr lang="zh-CN" sz="800">
          <a:latin typeface="Times New Roman" charset="0"/>
          <a:cs typeface="Times New Roman" charset="0"/>
        </a:defRPr>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900</Words>
  <Characters>5132</Characters>
  <Lines>42</Lines>
  <Paragraphs>12</Paragraphs>
  <TotalTime>7</TotalTime>
  <ScaleCrop>false</ScaleCrop>
  <LinksUpToDate>false</LinksUpToDate>
  <CharactersWithSpaces>6020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2022-05-01T22:01:00Z</dcterms:created>
  <dc:creator>afey2010@163.com</dc:creator>
  <cp:lastModifiedBy>ruijie</cp:lastModifiedBy>
  <cp:lastPrinted>2022-05-02T18:28:00Z</cp:lastPrinted>
  <dcterms:modified xsi:type="dcterms:W3CDTF">2022-06-14T11:24:41Z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woTemplateTypoMode" linkTarget="0">
    <vt:lpwstr>web</vt:lpwstr>
  </property>
  <property fmtid="{D5CDD505-2E9C-101B-9397-08002B2CF9AE}" pid="4" name="woTemplate" linkTarget="0">
    <vt:i4>1</vt:i4>
  </property>
</Properties>
</file>