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pacing w:after="150" w:afterAutospacing="0" w:line="420" w:lineRule="atLeast"/>
        <w:ind w:left="0" w:firstLine="420"/>
      </w:pPr>
      <w:r>
        <w:rPr>
          <w:rFonts w:ascii="微软雅黑" w:hAnsi="微软雅黑" w:eastAsia="微软雅黑" w:cs="微软雅黑"/>
          <w:bdr w:val="none" w:color="auto" w:sz="0" w:space="0"/>
        </w:rPr>
        <w:t>附件：</w:t>
      </w:r>
      <w:bookmarkStart w:id="0" w:name="_GoBack"/>
      <w:r>
        <w:rPr>
          <w:rFonts w:ascii="微软雅黑" w:hAnsi="微软雅黑" w:eastAsia="微软雅黑" w:cs="微软雅黑"/>
          <w:bdr w:val="none" w:color="auto" w:sz="0" w:space="0"/>
        </w:rPr>
        <w:t>1.全省水利建设投资计划完成情况表</w:t>
      </w:r>
    </w:p>
    <w:bookmarkEnd w:id="0"/>
    <w:tbl>
      <w:tblPr>
        <w:tblW w:w="1035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55"/>
        <w:gridCol w:w="750"/>
        <w:gridCol w:w="780"/>
        <w:gridCol w:w="930"/>
        <w:gridCol w:w="930"/>
        <w:gridCol w:w="900"/>
        <w:gridCol w:w="960"/>
        <w:gridCol w:w="900"/>
        <w:gridCol w:w="915"/>
        <w:gridCol w:w="780"/>
        <w:gridCol w:w="7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市、县（市、区）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年度投资计划及完成情况</w:t>
            </w:r>
          </w:p>
        </w:tc>
        <w:tc>
          <w:tcPr>
            <w:tcW w:w="5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中央投资计划及完成情况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省级资金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1~12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月完成投资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1~12月投资完成率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中央投资计划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完成投资计划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完成中央资金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投资计划完成率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中央资金完成率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372771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363558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98034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96806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96806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28058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29607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洞头区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11784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泰顺县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73726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73726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南湖区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秀洲区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桐乡市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嘉善县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26093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26093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南浔区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13307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13307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嵊州市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27780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14786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14786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普陀区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岱山县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嵊泗县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椒江区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玉环市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47395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46413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24747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24747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丽水市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48413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14446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37273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丽水市本级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莲都区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16397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庆元县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缙云县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遂昌县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2569D"/>
    <w:rsid w:val="462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font81"/>
    <w:basedOn w:val="4"/>
    <w:uiPriority w:val="0"/>
    <w:rPr>
      <w:rFonts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8">
    <w:name w:val="font5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21"/>
    <w:basedOn w:val="4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2020-06-17T06:39:00Z</dcterms:created>
  <dc:creator>Gefm</dc:creator>
  <cp:lastModifiedBy>Gefm</cp:lastModifiedBy>
  <dcterms:modified xsi:type="dcterms:W3CDTF">2020-06-17T06:40:43Z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